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1FB7E440" w:rsidR="00DE4E45" w:rsidRPr="00505AED" w:rsidRDefault="00E329DB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 w:rsidR="000D791A"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E00551">
        <w:rPr>
          <w:rFonts w:cs="Arial"/>
          <w:b/>
          <w:color w:val="000000" w:themeColor="text1"/>
          <w:sz w:val="36"/>
          <w:szCs w:val="36"/>
        </w:rPr>
        <w:t>d</w:t>
      </w:r>
      <w:r w:rsidR="000D791A">
        <w:rPr>
          <w:rFonts w:cs="Arial"/>
          <w:b/>
          <w:color w:val="000000" w:themeColor="text1"/>
          <w:sz w:val="36"/>
          <w:szCs w:val="36"/>
        </w:rPr>
        <w:t>escription</w:t>
      </w:r>
    </w:p>
    <w:p w14:paraId="70AC7918" w14:textId="10688300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 w:rsidR="000D791A"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981AD6">
        <w:rPr>
          <w:rFonts w:cs="Arial"/>
          <w:color w:val="000000" w:themeColor="text1"/>
          <w:sz w:val="22"/>
        </w:rPr>
        <w:t>Cas</w:t>
      </w:r>
      <w:r w:rsidR="00981AD6" w:rsidRPr="00AD136F">
        <w:rPr>
          <w:rFonts w:cs="Arial"/>
          <w:color w:val="000000" w:themeColor="text1"/>
          <w:sz w:val="22"/>
        </w:rPr>
        <w:t>ework Administrator</w:t>
      </w:r>
    </w:p>
    <w:p w14:paraId="23AE8DC6" w14:textId="0EDD5CD4" w:rsidR="00EA371B" w:rsidRPr="001C16C4" w:rsidRDefault="000D791A" w:rsidP="001C16C4">
      <w:pPr>
        <w:spacing w:after="120"/>
        <w:rPr>
          <w:b/>
          <w:bCs/>
        </w:rPr>
      </w:pPr>
      <w:r>
        <w:rPr>
          <w:b/>
          <w:bCs/>
        </w:rPr>
        <w:t>Reports to</w:t>
      </w:r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981AD6" w:rsidRPr="00981AD6">
        <w:rPr>
          <w:rStyle w:val="Strong"/>
          <w:rFonts w:cs="Arial"/>
          <w:b w:val="0"/>
          <w:bCs w:val="0"/>
          <w:color w:val="000000" w:themeColor="text1"/>
          <w:sz w:val="22"/>
        </w:rPr>
        <w:t>Administration Hub Manager</w:t>
      </w:r>
    </w:p>
    <w:p w14:paraId="7A81A8BD" w14:textId="4E687D58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 w:rsidR="000D791A"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981AD6" w:rsidRPr="00AD136F">
        <w:rPr>
          <w:rFonts w:cs="Arial"/>
          <w:bCs/>
          <w:color w:val="000000" w:themeColor="text1"/>
          <w:sz w:val="22"/>
        </w:rPr>
        <w:t>Sale</w:t>
      </w:r>
    </w:p>
    <w:p w14:paraId="5B334342" w14:textId="2DA6E395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 w:rsidR="000D791A"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981AD6" w:rsidRPr="00981AD6">
        <w:t>Grade 7</w:t>
      </w:r>
    </w:p>
    <w:p w14:paraId="58A82AB2" w14:textId="07BBD452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 w:rsidR="000D791A"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981AD6" w:rsidRPr="7B012595">
        <w:rPr>
          <w:rFonts w:cs="Arial"/>
          <w:sz w:val="22"/>
        </w:rPr>
        <w:t>£2</w:t>
      </w:r>
      <w:r w:rsidR="00305254">
        <w:rPr>
          <w:rFonts w:cs="Arial"/>
          <w:sz w:val="22"/>
        </w:rPr>
        <w:t>6,765</w:t>
      </w:r>
    </w:p>
    <w:p w14:paraId="7D1A9C21" w14:textId="04E7CF59" w:rsidR="00EC5EB0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9E5C57"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07C1CB92" w14:textId="7A115970" w:rsidR="0082023D" w:rsidRPr="00293DB6" w:rsidRDefault="0082023D" w:rsidP="00293DB6">
      <w:r w:rsidRPr="00293DB6">
        <w:t>As a</w:t>
      </w:r>
      <w:r w:rsidR="00981AD6">
        <w:t xml:space="preserve"> Casework Manager</w:t>
      </w:r>
      <w:r w:rsidRPr="00293DB6">
        <w:t xml:space="preserve">, you will be welcomed into a dynamic and inclusive </w:t>
      </w:r>
      <w:r w:rsidR="00981AD6">
        <w:t>directorate</w:t>
      </w:r>
      <w:r w:rsidRPr="00293DB6">
        <w:t>. The IOPC is on a journey to develop its culture, perspectives and ethos to support the organisation</w:t>
      </w:r>
      <w:r w:rsidR="00F83EDE">
        <w:t>’</w:t>
      </w:r>
      <w:r w:rsidRPr="00293DB6">
        <w:t xml:space="preserve">s core </w:t>
      </w:r>
      <w:proofErr w:type="gramStart"/>
      <w:r w:rsidRPr="00293DB6">
        <w:t>outcomes</w:t>
      </w:r>
      <w:proofErr w:type="gramEnd"/>
      <w:r w:rsidRPr="00293DB6">
        <w:t xml:space="preserve"> and this is your opportunity to </w:t>
      </w:r>
      <w:proofErr w:type="gramStart"/>
      <w:r w:rsidRPr="00293DB6">
        <w:t>enter into</w:t>
      </w:r>
      <w:proofErr w:type="gramEnd"/>
      <w:r w:rsidRPr="00293DB6">
        <w:t xml:space="preserve"> the varied world of</w:t>
      </w:r>
      <w:r w:rsidR="00A10ADF" w:rsidRPr="00293DB6">
        <w:t xml:space="preserve"> IOPC</w:t>
      </w:r>
      <w:r w:rsidR="00981AD6">
        <w:rPr>
          <w:color w:val="FF0000"/>
        </w:rPr>
        <w:t xml:space="preserve"> </w:t>
      </w:r>
      <w:r w:rsidR="00981AD6" w:rsidRPr="00981AD6">
        <w:rPr>
          <w:color w:val="000000" w:themeColor="text1"/>
        </w:rPr>
        <w:t>Business Admin</w:t>
      </w:r>
      <w:r w:rsidRPr="00293DB6">
        <w:t xml:space="preserve">, allowing you to develop your mindset and approaches to contribute to improving the police complaints system in England and Wales. </w:t>
      </w:r>
    </w:p>
    <w:p w14:paraId="43FFF744" w14:textId="77777777" w:rsidR="00981AD6" w:rsidRPr="00981AD6" w:rsidRDefault="00981AD6" w:rsidP="00981AD6">
      <w:pPr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The role assists the organisation by preparing cases, liaising with stakeholders and providing all aspects of administrative support.</w:t>
      </w:r>
    </w:p>
    <w:p w14:paraId="53107CA8" w14:textId="4E4A1364" w:rsidR="00981AD6" w:rsidRPr="00981AD6" w:rsidRDefault="00981AD6" w:rsidP="00981AD6">
      <w:pPr>
        <w:rPr>
          <w:rFonts w:cs="Arial"/>
          <w:b/>
          <w:bCs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BACKGROUND</w:t>
      </w:r>
    </w:p>
    <w:p w14:paraId="4703B1D3" w14:textId="77777777" w:rsid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The Administration Hub can be the first contact point for members of the public and other agencies </w:t>
      </w:r>
      <w:proofErr w:type="gramStart"/>
      <w:r w:rsidRPr="00981AD6">
        <w:rPr>
          <w:rFonts w:cs="Arial"/>
          <w:color w:val="000000" w:themeColor="text1"/>
          <w:szCs w:val="24"/>
        </w:rPr>
        <w:t>in regard to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Appeals/Reviews and Police Referrals. The Administration Hub receives referrals about serious matters from Appropriate Authorities and Appeals or Reviews from members of the public who made a complaint and are dissatisfied with the Appropriate Authorities handling of their complaint. The Administration Hub will collate all relevant information and direct cases and correspondence to the correct internal department. </w:t>
      </w:r>
      <w:r w:rsidRPr="00981AD6">
        <w:rPr>
          <w:rFonts w:cs="Arial"/>
          <w:color w:val="000000" w:themeColor="text1"/>
          <w:szCs w:val="24"/>
        </w:rPr>
        <w:br/>
      </w:r>
    </w:p>
    <w:p w14:paraId="514C2D21" w14:textId="532ED73A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Information may be received via telephone, e-mail or post. Generally, the administration team conduct a preliminary examination of the information received, input this information, prepare the case file and then refer it to the appropriate </w:t>
      </w:r>
      <w:r w:rsidRPr="00981AD6">
        <w:rPr>
          <w:rFonts w:cs="Arial"/>
          <w:color w:val="000000" w:themeColor="text1"/>
          <w:szCs w:val="24"/>
        </w:rPr>
        <w:lastRenderedPageBreak/>
        <w:t>person. The Administration Hub receives new work daily and therefore the work of the team is fast paced and reactive.</w:t>
      </w:r>
    </w:p>
    <w:p w14:paraId="38CDD633" w14:textId="77777777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In completing some of these </w:t>
      </w:r>
      <w:proofErr w:type="gramStart"/>
      <w:r w:rsidRPr="00981AD6">
        <w:rPr>
          <w:rFonts w:cs="Arial"/>
          <w:color w:val="000000" w:themeColor="text1"/>
          <w:szCs w:val="24"/>
        </w:rPr>
        <w:t>tasks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the post holder may view some distressing or sensitive material</w:t>
      </w:r>
      <w:r w:rsidRPr="00981AD6">
        <w:rPr>
          <w:rFonts w:cs="Arial"/>
          <w:color w:val="000000" w:themeColor="text1"/>
          <w:szCs w:val="24"/>
        </w:rPr>
        <w:br/>
      </w: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3ECB2B92" w:rsidR="001C16C4" w:rsidRDefault="00CF5EA5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7A35B17" wp14:editId="57239744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FC" w:rsidRPr="001C16C4">
        <w:t>O</w:t>
      </w:r>
      <w:r w:rsidR="00C24271">
        <w:t>rganisational</w:t>
      </w:r>
      <w:r w:rsidR="00BC69FC" w:rsidRPr="001C16C4">
        <w:t xml:space="preserve"> </w:t>
      </w:r>
      <w:r w:rsidR="00E00551">
        <w:t>c</w:t>
      </w:r>
      <w:r w:rsidR="00C24271">
        <w:t>ontext</w:t>
      </w:r>
    </w:p>
    <w:p w14:paraId="785AB2F2" w14:textId="07F716C5" w:rsidR="00972AE3" w:rsidRPr="00972AE3" w:rsidRDefault="00972AE3" w:rsidP="00972AE3"/>
    <w:p w14:paraId="008C145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6B934CF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0570545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07561D3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9D47DD0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F0E0A8C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ED63F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2628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AC28A8D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322B2D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1A0BBC1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E99B6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97F65F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BF676E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5FCD19F" w14:textId="7322E99E" w:rsidR="00BC69FC" w:rsidRPr="00EF7ACB" w:rsidRDefault="00972AE3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rFonts w:cs="Arial"/>
          <w:noProof/>
          <w:lang w:val="en"/>
        </w:rPr>
        <w:drawing>
          <wp:anchor distT="0" distB="0" distL="114300" distR="114300" simplePos="0" relativeHeight="251665408" behindDoc="0" locked="0" layoutInCell="1" allowOverlap="1" wp14:anchorId="28166478" wp14:editId="5AE9BCEE">
            <wp:simplePos x="0" y="0"/>
            <wp:positionH relativeFrom="column">
              <wp:posOffset>-160655</wp:posOffset>
            </wp:positionH>
            <wp:positionV relativeFrom="paragraph">
              <wp:posOffset>661670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 xml:space="preserve">We work in the context of our agreed values which inform the way we do things at the IOPC. The </w:t>
      </w:r>
      <w:r w:rsidR="00981AD6">
        <w:rPr>
          <w:rFonts w:eastAsia="Times New Roman" w:cs="Arial"/>
          <w:noProof/>
          <w:color w:val="000000"/>
          <w:lang w:eastAsia="en-GB"/>
        </w:rPr>
        <w:t xml:space="preserve">Casework Administrator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  <w:r w:rsidR="000D791A">
        <w:rPr>
          <w:rFonts w:eastAsia="Times New Roman" w:cs="Arial"/>
          <w:noProof/>
          <w:color w:val="000000"/>
          <w:lang w:eastAsia="en-GB"/>
        </w:rPr>
        <w:t xml:space="preserve"> </w:t>
      </w:r>
    </w:p>
    <w:p w14:paraId="29D82F30" w14:textId="5C44AF71" w:rsidR="004F4BF0" w:rsidRDefault="004F4BF0" w:rsidP="00293DB6">
      <w:pPr>
        <w:rPr>
          <w:lang w:val="en"/>
        </w:rPr>
      </w:pPr>
    </w:p>
    <w:p w14:paraId="2EA921CC" w14:textId="6AA3F0CC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E00551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0" w:history="1">
        <w:r w:rsidRPr="00E00551">
          <w:rPr>
            <w:rStyle w:val="Hyperlink"/>
            <w:rFonts w:cs="Arial"/>
            <w:noProof/>
          </w:rPr>
          <w:t>calls to action</w:t>
        </w:r>
      </w:hyperlink>
      <w:r w:rsidRPr="00E00551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Programme to </w:t>
      </w:r>
      <w:hyperlink r:id="rId11" w:history="1">
        <w:r w:rsidRPr="00E00551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2" w:history="1">
        <w:r w:rsidRPr="00E00551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2FC5CC6E" w14:textId="77777777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AD136F">
        <w:rPr>
          <w:rStyle w:val="Strong"/>
          <w:rFonts w:cs="Arial"/>
          <w:color w:val="000000" w:themeColor="text1"/>
          <w:sz w:val="22"/>
        </w:rPr>
        <w:t>1</w:t>
      </w:r>
      <w:r w:rsidRPr="00981AD6">
        <w:rPr>
          <w:rStyle w:val="Strong"/>
          <w:rFonts w:cs="Arial"/>
          <w:color w:val="000000" w:themeColor="text1"/>
          <w:szCs w:val="24"/>
        </w:rPr>
        <w:t>. General Duties</w:t>
      </w:r>
    </w:p>
    <w:p w14:paraId="52405986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Opening all post sorting and scanning it</w:t>
      </w:r>
    </w:p>
    <w:p w14:paraId="09B7410D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Search and retrieval of files / miscellaneous post etc.</w:t>
      </w:r>
    </w:p>
    <w:p w14:paraId="56473B41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Contact point for the Appropriate Authorities who are requesting an update on an allocation of an appeal/review or a referral. </w:t>
      </w:r>
    </w:p>
    <w:p w14:paraId="05B91AE9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Contact point for members of the public prior to allocation of Appeals &amp; Reviews, advising on allocation times, appeal rights, and how to submit appeals and further information. </w:t>
      </w:r>
    </w:p>
    <w:p w14:paraId="294A1E82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Filing and photocopying duties</w:t>
      </w:r>
    </w:p>
    <w:p w14:paraId="1B812E1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Maintaining Perito case files prior to allocation to a decision maker. </w:t>
      </w:r>
    </w:p>
    <w:p w14:paraId="45D28339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Triage of post items and emails</w:t>
      </w:r>
    </w:p>
    <w:p w14:paraId="3800EB23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Create and manage file parts and media for the directorate</w:t>
      </w:r>
    </w:p>
    <w:p w14:paraId="164977D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Copy and encryption of all media types, including BWV and CCTV.</w:t>
      </w:r>
    </w:p>
    <w:p w14:paraId="1B87D3BE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Downloading of media and investigation papers from </w:t>
      </w:r>
      <w:proofErr w:type="gramStart"/>
      <w:r w:rsidRPr="00981AD6">
        <w:rPr>
          <w:rFonts w:cs="Arial"/>
          <w:color w:val="000000" w:themeColor="text1"/>
          <w:szCs w:val="24"/>
        </w:rPr>
        <w:t>cloud based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applications. </w:t>
      </w:r>
    </w:p>
    <w:p w14:paraId="44D2E8EE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Updating </w:t>
      </w:r>
      <w:proofErr w:type="spellStart"/>
      <w:r w:rsidRPr="00981AD6">
        <w:rPr>
          <w:rFonts w:cs="Arial"/>
          <w:color w:val="000000" w:themeColor="text1"/>
          <w:szCs w:val="24"/>
        </w:rPr>
        <w:t>Sharepoint</w:t>
      </w:r>
      <w:proofErr w:type="spellEnd"/>
      <w:r w:rsidRPr="00981AD6">
        <w:rPr>
          <w:rFonts w:cs="Arial"/>
          <w:color w:val="000000" w:themeColor="text1"/>
          <w:szCs w:val="24"/>
        </w:rPr>
        <w:t xml:space="preserve"> with relevant documents and ensuring templates and passwords are kept up to date</w:t>
      </w:r>
    </w:p>
    <w:p w14:paraId="6A3EC22F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lastRenderedPageBreak/>
        <w:t>Travel bookings/car hire for colleagues as requested</w:t>
      </w:r>
    </w:p>
    <w:p w14:paraId="04AC691C" w14:textId="77777777" w:rsidR="00981AD6" w:rsidRPr="00981AD6" w:rsidRDefault="00981AD6" w:rsidP="00981AD6">
      <w:pPr>
        <w:jc w:val="both"/>
        <w:rPr>
          <w:rStyle w:val="Strong"/>
          <w:rFonts w:cs="Arial"/>
          <w:color w:val="000000" w:themeColor="text1"/>
          <w:szCs w:val="24"/>
        </w:rPr>
      </w:pPr>
    </w:p>
    <w:p w14:paraId="6548F717" w14:textId="77777777" w:rsidR="00981AD6" w:rsidRPr="00981AD6" w:rsidRDefault="00981AD6" w:rsidP="00981AD6">
      <w:pPr>
        <w:jc w:val="both"/>
        <w:rPr>
          <w:rStyle w:val="Strong"/>
          <w:rFonts w:cs="Arial"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2. Referrals</w:t>
      </w:r>
    </w:p>
    <w:p w14:paraId="3B3C15B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Creation of new referrals on Perito</w:t>
      </w:r>
    </w:p>
    <w:p w14:paraId="0B1A81C0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Forward referrals to appropriate department</w:t>
      </w:r>
    </w:p>
    <w:p w14:paraId="12F05BEC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Ensure all documents and information are saved to the case and media encrypted and sent to the appropriate decision</w:t>
      </w:r>
      <w:r w:rsidRPr="00981AD6">
        <w:rPr>
          <w:rFonts w:cs="Arial"/>
          <w:color w:val="000000" w:themeColor="text1"/>
          <w:szCs w:val="24"/>
        </w:rPr>
        <w:br/>
      </w:r>
    </w:p>
    <w:p w14:paraId="2A0336EA" w14:textId="77777777" w:rsidR="00981AD6" w:rsidRPr="00981AD6" w:rsidRDefault="00981AD6" w:rsidP="00981AD6">
      <w:pPr>
        <w:jc w:val="both"/>
        <w:rPr>
          <w:rFonts w:cs="Arial"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3. Appeals &amp; Reviews</w:t>
      </w:r>
    </w:p>
    <w:p w14:paraId="585E821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Creation of new Appeals/Reviews on Perito</w:t>
      </w:r>
    </w:p>
    <w:p w14:paraId="3CB20A25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Update Appeal &amp; Review spreadsheets</w:t>
      </w:r>
    </w:p>
    <w:p w14:paraId="153BFA1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Send and save acknowledgement letters for Appeals or Reviews and email the appropriate force</w:t>
      </w:r>
    </w:p>
    <w:p w14:paraId="38F63D97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Deal with Appeal or Review queries from members of the public, police forces and other policing bodies.</w:t>
      </w:r>
    </w:p>
    <w:p w14:paraId="59A59FA6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Checking Appeal/Review documentation and assess who the appropriate Appeal/Review body </w:t>
      </w:r>
      <w:proofErr w:type="gramStart"/>
      <w:r w:rsidRPr="00981AD6">
        <w:rPr>
          <w:rFonts w:cs="Arial"/>
          <w:color w:val="000000" w:themeColor="text1"/>
          <w:szCs w:val="24"/>
        </w:rPr>
        <w:t>is, and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deciding whether it has been received in time and whether it requests a validity assessment.  </w:t>
      </w:r>
    </w:p>
    <w:p w14:paraId="41EA7C52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Communicating in writing and verbally with forces/police bodies and members of the public regarding appeals </w:t>
      </w:r>
    </w:p>
    <w:p w14:paraId="5BB0278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Acting as single point of contact (SPOC) for certain appellants dealing specifically with the setting up of their appeals/reviews ensuring they are provided with a consistent service</w:t>
      </w:r>
    </w:p>
    <w:p w14:paraId="0FE99321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Printing WFH documents for Casework Managers. </w:t>
      </w:r>
    </w:p>
    <w:p w14:paraId="0EBE2318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Contact police forces to obtain background information.</w:t>
      </w:r>
    </w:p>
    <w:p w14:paraId="2F551BD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Review background papers for cases and ensuring all key documents and media listed in the Investigators report have been requested from the police force. </w:t>
      </w:r>
    </w:p>
    <w:p w14:paraId="6F1A1C4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Processing translation requests both verbally and written (appeal related). </w:t>
      </w:r>
    </w:p>
    <w:p w14:paraId="57BC0F2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Chasing Death and Serious Injury reports from appropriate authorities and ensuring case files complete for Casework Managers to work. </w:t>
      </w:r>
    </w:p>
    <w:p w14:paraId="649E6E6F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Prepare closed Appeals and Reviews for filing and archiving.</w:t>
      </w:r>
    </w:p>
    <w:p w14:paraId="2CFF90A9" w14:textId="77777777" w:rsidR="00981AD6" w:rsidRPr="00981AD6" w:rsidRDefault="00981AD6" w:rsidP="00981AD6">
      <w:pPr>
        <w:pStyle w:val="ListParagraph"/>
        <w:jc w:val="both"/>
        <w:rPr>
          <w:rFonts w:cs="Arial"/>
          <w:color w:val="000000" w:themeColor="text1"/>
          <w:szCs w:val="24"/>
        </w:rPr>
      </w:pPr>
    </w:p>
    <w:p w14:paraId="635D724B" w14:textId="77777777" w:rsidR="00981AD6" w:rsidRPr="00981AD6" w:rsidRDefault="00981AD6" w:rsidP="00981AD6">
      <w:pPr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4. Other Police Reform Act work</w:t>
      </w:r>
    </w:p>
    <w:p w14:paraId="12F68B5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Log new applications from Appropriate Authorities</w:t>
      </w:r>
    </w:p>
    <w:p w14:paraId="174CC8F3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Ensure all documents and information is saved to the case</w:t>
      </w:r>
    </w:p>
    <w:p w14:paraId="77C5D02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Acknowledge receipt of applications to the Appropriate Authority</w:t>
      </w:r>
    </w:p>
    <w:p w14:paraId="7ACFDCCE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Updating and maintaining allocation spreadsheets, including allocating for Senior Casework Managers.  </w:t>
      </w:r>
    </w:p>
    <w:p w14:paraId="6975302E" w14:textId="77777777" w:rsidR="00EA371B" w:rsidRPr="00C24271" w:rsidRDefault="00EA371B" w:rsidP="00C24271"/>
    <w:p w14:paraId="4FC6506B" w14:textId="5415A393" w:rsidR="0099482D" w:rsidRPr="00C24271" w:rsidRDefault="00E329DB" w:rsidP="00C24271">
      <w:pPr>
        <w:pStyle w:val="Heading1"/>
      </w:pPr>
      <w:r w:rsidRPr="00C24271">
        <w:lastRenderedPageBreak/>
        <w:t>P</w:t>
      </w:r>
      <w:r w:rsidR="00C24271">
        <w:t>erson specification</w:t>
      </w:r>
    </w:p>
    <w:p w14:paraId="1A71DC02" w14:textId="6221FEF4" w:rsidR="0099482D" w:rsidRDefault="00A2144F" w:rsidP="00C24271">
      <w:pPr>
        <w:pStyle w:val="Heading2"/>
      </w:pPr>
      <w:bookmarkStart w:id="2" w:name="_Hlk33789370"/>
      <w:r w:rsidRPr="00C24271">
        <w:t>Essential</w:t>
      </w:r>
      <w:r w:rsidR="00CF5EA5">
        <w:t xml:space="preserve"> </w:t>
      </w:r>
      <w:r w:rsidR="00E329DB" w:rsidRPr="00C24271">
        <w:t>Experience</w:t>
      </w:r>
    </w:p>
    <w:p w14:paraId="3DB463A5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secondary school level education, including English and Maths to GCSE grade C or equivalent</w:t>
      </w:r>
    </w:p>
    <w:p w14:paraId="4C5F8F20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IT literate including competency in Microsoft Office and electronic databases </w:t>
      </w:r>
      <w:proofErr w:type="gramStart"/>
      <w:r w:rsidRPr="00981AD6">
        <w:rPr>
          <w:rFonts w:cs="Arial"/>
          <w:color w:val="000000" w:themeColor="text1"/>
          <w:szCs w:val="24"/>
        </w:rPr>
        <w:t>in particular having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good Microsoft Excel skills </w:t>
      </w:r>
      <w:proofErr w:type="gramStart"/>
      <w:r w:rsidRPr="00981AD6">
        <w:rPr>
          <w:rFonts w:cs="Arial"/>
          <w:color w:val="000000" w:themeColor="text1"/>
          <w:szCs w:val="24"/>
        </w:rPr>
        <w:t>in order to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collate, store and present data.</w:t>
      </w:r>
    </w:p>
    <w:p w14:paraId="0902A4D5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Ability to work on own initiative </w:t>
      </w:r>
    </w:p>
    <w:p w14:paraId="457A2990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Must have high integrity with an ability to act with discretion and to deal appropriately with confidential matters (this post requires Security Clearance)</w:t>
      </w:r>
    </w:p>
    <w:p w14:paraId="7A995D43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Ability to deal appropriately with a wide range of people at all levels, both within and outside the IOPC</w:t>
      </w:r>
    </w:p>
    <w:p w14:paraId="689BDF61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A flexible approach to work, including the ability to work to tight deadlines and to deal with changing priorities. </w:t>
      </w:r>
    </w:p>
    <w:p w14:paraId="3ED578CF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oral and written communication skills</w:t>
      </w:r>
    </w:p>
    <w:p w14:paraId="1E887E9C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Must be proactive in approach to work </w:t>
      </w:r>
    </w:p>
    <w:p w14:paraId="756DDF3D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The ability to deal with high profile, sensitive matters, which sometimes can be of an upsetting nature. </w:t>
      </w:r>
    </w:p>
    <w:p w14:paraId="4FF3B11A" w14:textId="77777777" w:rsidR="00CF5EA5" w:rsidRDefault="00CF5EA5" w:rsidP="00CF5EA5"/>
    <w:p w14:paraId="41873D9C" w14:textId="773A797C" w:rsidR="00CF5EA5" w:rsidRPr="00C24271" w:rsidRDefault="00981AD6" w:rsidP="00CF5EA5">
      <w:pPr>
        <w:pStyle w:val="Heading2"/>
      </w:pPr>
      <w:r>
        <w:t>Desirable Experience</w:t>
      </w:r>
    </w:p>
    <w:p w14:paraId="6FC25C5E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Some knowledge of the work of the IOPC and key legislation which governs its operation</w:t>
      </w:r>
    </w:p>
    <w:p w14:paraId="0E5E7A7D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oral and written communication skills in Welsh.</w:t>
      </w:r>
    </w:p>
    <w:p w14:paraId="598DB618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Knowledge and experience of dealing with digital media, including encryption. </w:t>
      </w:r>
    </w:p>
    <w:p w14:paraId="2AACC827" w14:textId="77777777" w:rsidR="00CF5EA5" w:rsidRDefault="00CF5EA5" w:rsidP="00CF5EA5"/>
    <w:p w14:paraId="0C8F9FD1" w14:textId="77777777" w:rsidR="00981AD6" w:rsidRPr="00CF5EA5" w:rsidRDefault="00981AD6" w:rsidP="00CF5EA5"/>
    <w:bookmarkEnd w:id="2"/>
    <w:p w14:paraId="20187301" w14:textId="65125ADF" w:rsidR="00B3504B" w:rsidRPr="00C24271" w:rsidRDefault="00B3504B" w:rsidP="00C24271">
      <w:pPr>
        <w:pStyle w:val="Heading2"/>
      </w:pPr>
      <w:r w:rsidRPr="00C24271">
        <w:t xml:space="preserve">Reasonable adjustments </w:t>
      </w:r>
    </w:p>
    <w:p w14:paraId="31D26F53" w14:textId="74AB2AB9" w:rsidR="00981AD6" w:rsidRDefault="006E0DCC" w:rsidP="00981AD6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6" w:history="1">
        <w:r w:rsidR="00981AD6" w:rsidRPr="00C52DF3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  <w:bookmarkEnd w:id="3"/>
    </w:p>
    <w:p w14:paraId="33730B49" w14:textId="77777777" w:rsidR="00981AD6" w:rsidRDefault="00981AD6" w:rsidP="00981AD6"/>
    <w:p w14:paraId="692B88BC" w14:textId="77777777" w:rsidR="00981AD6" w:rsidRDefault="00981AD6" w:rsidP="00981AD6"/>
    <w:p w14:paraId="41390672" w14:textId="77777777" w:rsidR="00981AD6" w:rsidRDefault="00981AD6" w:rsidP="00981AD6"/>
    <w:p w14:paraId="2C821C5E" w14:textId="77777777" w:rsidR="00981AD6" w:rsidRDefault="00981AD6" w:rsidP="00981AD6"/>
    <w:p w14:paraId="72D876D7" w14:textId="4E6C7507" w:rsidR="00E261D5" w:rsidRPr="00E261D5" w:rsidRDefault="00E261D5" w:rsidP="001C16C4">
      <w:pPr>
        <w:pStyle w:val="Heading2"/>
      </w:pPr>
      <w:r w:rsidRPr="00E261D5">
        <w:lastRenderedPageBreak/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57DA627A" w14:textId="77777777" w:rsidR="009E5C57" w:rsidRDefault="009E5C57" w:rsidP="009E5C57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20% of their contractual hours at their office base (or another office for business reasons) from 1 September 2024 and will be increased to 40% from April 2025. Office attendance time includes in-person training, meetings with stakeholders and families, and attending events.</w:t>
      </w:r>
    </w:p>
    <w:p w14:paraId="6E6A9644" w14:textId="77777777" w:rsidR="00B3504B" w:rsidRDefault="00B3504B" w:rsidP="001C16C4">
      <w:pPr>
        <w:pStyle w:val="Heading2"/>
      </w:pPr>
      <w:r w:rsidRPr="00CF67E6">
        <w:t>Preparation checklist</w:t>
      </w:r>
    </w:p>
    <w:p w14:paraId="30C7FBEB" w14:textId="326FD763" w:rsidR="00B3504B" w:rsidRPr="00CF67E6" w:rsidRDefault="00E00551" w:rsidP="00B3504B">
      <w:pPr>
        <w:jc w:val="both"/>
        <w:rPr>
          <w:rFonts w:cs="Arial"/>
        </w:rPr>
      </w:pPr>
      <w:r>
        <w:rPr>
          <w:rFonts w:cs="Arial"/>
        </w:rPr>
        <w:br/>
      </w: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 xml:space="preserve">Review the full job description </w:t>
      </w:r>
    </w:p>
    <w:p w14:paraId="03184130" w14:textId="3E208A69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>Review the behaviours and the descriptors for each behaviour</w:t>
      </w:r>
    </w:p>
    <w:p w14:paraId="5489879B" w14:textId="016AB883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 xml:space="preserve">Review the Strengths dictionary </w:t>
      </w:r>
    </w:p>
    <w:p w14:paraId="3B2435DB" w14:textId="7164F2F7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3504B" w:rsidRPr="00CF67E6">
        <w:rPr>
          <w:rFonts w:cs="Arial"/>
        </w:rPr>
        <w:t>Review the IOPC values</w:t>
      </w:r>
    </w:p>
    <w:p w14:paraId="7732D64A" w14:textId="061B772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your Strengths (if applicable)</w:t>
      </w:r>
    </w:p>
    <w:p w14:paraId="7453DCE0" w14:textId="3267AA0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drafting example answers that cover the specific elements</w:t>
      </w:r>
    </w:p>
    <w:p w14:paraId="6C379356" w14:textId="16B07975" w:rsidR="00091CD1" w:rsidRPr="00293DB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Prepare some questions to ask the interviewers</w:t>
      </w:r>
    </w:p>
    <w:sectPr w:rsidR="00091CD1" w:rsidRPr="00293DB6" w:rsidSect="00505AED"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652B" w14:textId="77777777" w:rsidR="00645E83" w:rsidRDefault="00645E83" w:rsidP="006B7BCE">
      <w:pPr>
        <w:spacing w:after="0" w:line="240" w:lineRule="auto"/>
      </w:pPr>
      <w:r>
        <w:separator/>
      </w:r>
    </w:p>
  </w:endnote>
  <w:endnote w:type="continuationSeparator" w:id="0">
    <w:p w14:paraId="03350E9D" w14:textId="77777777" w:rsidR="00645E83" w:rsidRDefault="00645E83" w:rsidP="006B7BCE">
      <w:pPr>
        <w:spacing w:after="0" w:line="240" w:lineRule="auto"/>
      </w:pPr>
      <w:r>
        <w:continuationSeparator/>
      </w:r>
    </w:p>
  </w:endnote>
  <w:endnote w:type="continuationNotice" w:id="1">
    <w:p w14:paraId="78346DA8" w14:textId="77777777" w:rsidR="00645E83" w:rsidRDefault="00645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3EDB" w14:textId="77777777" w:rsidR="00645E83" w:rsidRDefault="00645E83" w:rsidP="006B7BCE">
      <w:pPr>
        <w:spacing w:after="0" w:line="240" w:lineRule="auto"/>
      </w:pPr>
      <w:r>
        <w:separator/>
      </w:r>
    </w:p>
  </w:footnote>
  <w:footnote w:type="continuationSeparator" w:id="0">
    <w:p w14:paraId="1089DD45" w14:textId="77777777" w:rsidR="00645E83" w:rsidRDefault="00645E83" w:rsidP="006B7BCE">
      <w:pPr>
        <w:spacing w:after="0" w:line="240" w:lineRule="auto"/>
      </w:pPr>
      <w:r>
        <w:continuationSeparator/>
      </w:r>
    </w:p>
  </w:footnote>
  <w:footnote w:type="continuationNotice" w:id="1">
    <w:p w14:paraId="080A2EA7" w14:textId="77777777" w:rsidR="00645E83" w:rsidRDefault="00645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2C9A3B6A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6AB"/>
    <w:multiLevelType w:val="hybridMultilevel"/>
    <w:tmpl w:val="677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3AA1"/>
    <w:multiLevelType w:val="hybridMultilevel"/>
    <w:tmpl w:val="1AFE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64238"/>
    <w:multiLevelType w:val="hybridMultilevel"/>
    <w:tmpl w:val="6C94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0038">
    <w:abstractNumId w:val="8"/>
  </w:num>
  <w:num w:numId="2" w16cid:durableId="53747361">
    <w:abstractNumId w:val="9"/>
  </w:num>
  <w:num w:numId="3" w16cid:durableId="958758803">
    <w:abstractNumId w:val="0"/>
  </w:num>
  <w:num w:numId="4" w16cid:durableId="1007906363">
    <w:abstractNumId w:val="26"/>
  </w:num>
  <w:num w:numId="5" w16cid:durableId="1007632197">
    <w:abstractNumId w:val="5"/>
  </w:num>
  <w:num w:numId="6" w16cid:durableId="1888642819">
    <w:abstractNumId w:val="14"/>
  </w:num>
  <w:num w:numId="7" w16cid:durableId="547185909">
    <w:abstractNumId w:val="25"/>
  </w:num>
  <w:num w:numId="8" w16cid:durableId="782458166">
    <w:abstractNumId w:val="16"/>
  </w:num>
  <w:num w:numId="9" w16cid:durableId="19921263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12727">
    <w:abstractNumId w:val="12"/>
  </w:num>
  <w:num w:numId="11" w16cid:durableId="18232320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444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38138">
    <w:abstractNumId w:val="13"/>
  </w:num>
  <w:num w:numId="14" w16cid:durableId="708803525">
    <w:abstractNumId w:val="13"/>
  </w:num>
  <w:num w:numId="15" w16cid:durableId="252664624">
    <w:abstractNumId w:val="21"/>
  </w:num>
  <w:num w:numId="16" w16cid:durableId="779759459">
    <w:abstractNumId w:val="22"/>
  </w:num>
  <w:num w:numId="17" w16cid:durableId="1184251446">
    <w:abstractNumId w:val="11"/>
  </w:num>
  <w:num w:numId="18" w16cid:durableId="1371759519">
    <w:abstractNumId w:val="6"/>
  </w:num>
  <w:num w:numId="19" w16cid:durableId="1023215797">
    <w:abstractNumId w:val="23"/>
  </w:num>
  <w:num w:numId="20" w16cid:durableId="1668556444">
    <w:abstractNumId w:val="17"/>
  </w:num>
  <w:num w:numId="21" w16cid:durableId="450783021">
    <w:abstractNumId w:val="19"/>
  </w:num>
  <w:num w:numId="22" w16cid:durableId="98722308">
    <w:abstractNumId w:val="20"/>
  </w:num>
  <w:num w:numId="23" w16cid:durableId="1692417135">
    <w:abstractNumId w:val="15"/>
  </w:num>
  <w:num w:numId="24" w16cid:durableId="984309927">
    <w:abstractNumId w:val="27"/>
  </w:num>
  <w:num w:numId="25" w16cid:durableId="1121612860">
    <w:abstractNumId w:val="1"/>
  </w:num>
  <w:num w:numId="26" w16cid:durableId="1737976908">
    <w:abstractNumId w:val="3"/>
  </w:num>
  <w:num w:numId="27" w16cid:durableId="1181161742">
    <w:abstractNumId w:val="2"/>
  </w:num>
  <w:num w:numId="28" w16cid:durableId="1105417082">
    <w:abstractNumId w:val="7"/>
  </w:num>
  <w:num w:numId="29" w16cid:durableId="1908806941">
    <w:abstractNumId w:val="10"/>
  </w:num>
  <w:num w:numId="30" w16cid:durableId="281887157">
    <w:abstractNumId w:val="4"/>
  </w:num>
  <w:num w:numId="31" w16cid:durableId="5997523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75B37"/>
    <w:rsid w:val="000815FF"/>
    <w:rsid w:val="00091CD1"/>
    <w:rsid w:val="00097FC9"/>
    <w:rsid w:val="000B30D8"/>
    <w:rsid w:val="000C42E9"/>
    <w:rsid w:val="000D5136"/>
    <w:rsid w:val="000D791A"/>
    <w:rsid w:val="000E01B7"/>
    <w:rsid w:val="001145D4"/>
    <w:rsid w:val="00125E69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B427A"/>
    <w:rsid w:val="00305254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22197"/>
    <w:rsid w:val="00423843"/>
    <w:rsid w:val="0043067F"/>
    <w:rsid w:val="004317C5"/>
    <w:rsid w:val="004332EE"/>
    <w:rsid w:val="004507D1"/>
    <w:rsid w:val="00460A4D"/>
    <w:rsid w:val="00467B3C"/>
    <w:rsid w:val="00482CC1"/>
    <w:rsid w:val="004A22FB"/>
    <w:rsid w:val="004B7DF9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3F7B"/>
    <w:rsid w:val="0053435C"/>
    <w:rsid w:val="00535227"/>
    <w:rsid w:val="005431E0"/>
    <w:rsid w:val="00553A0C"/>
    <w:rsid w:val="00576B59"/>
    <w:rsid w:val="00580A1F"/>
    <w:rsid w:val="0058312B"/>
    <w:rsid w:val="005B06BF"/>
    <w:rsid w:val="005B74BB"/>
    <w:rsid w:val="005E5F01"/>
    <w:rsid w:val="0061686D"/>
    <w:rsid w:val="00643393"/>
    <w:rsid w:val="00645E83"/>
    <w:rsid w:val="0066384C"/>
    <w:rsid w:val="00664C28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5440F"/>
    <w:rsid w:val="00755A32"/>
    <w:rsid w:val="00772839"/>
    <w:rsid w:val="007850EF"/>
    <w:rsid w:val="007873FC"/>
    <w:rsid w:val="00791432"/>
    <w:rsid w:val="007963D1"/>
    <w:rsid w:val="007B796E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97745"/>
    <w:rsid w:val="008B288C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81AD6"/>
    <w:rsid w:val="009878F8"/>
    <w:rsid w:val="0099482D"/>
    <w:rsid w:val="009A45C0"/>
    <w:rsid w:val="009B41AD"/>
    <w:rsid w:val="009B6814"/>
    <w:rsid w:val="009D0EA6"/>
    <w:rsid w:val="009D1669"/>
    <w:rsid w:val="009D6AB3"/>
    <w:rsid w:val="009E5750"/>
    <w:rsid w:val="009E5C57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906E7"/>
    <w:rsid w:val="00AA0DD6"/>
    <w:rsid w:val="00AC396A"/>
    <w:rsid w:val="00AE26A0"/>
    <w:rsid w:val="00AE2E54"/>
    <w:rsid w:val="00AE3844"/>
    <w:rsid w:val="00AF2883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0E08"/>
    <w:rsid w:val="00B8136B"/>
    <w:rsid w:val="00BA2E41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CF5EA5"/>
    <w:rsid w:val="00D06777"/>
    <w:rsid w:val="00D10322"/>
    <w:rsid w:val="00D665EF"/>
    <w:rsid w:val="00D90029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29DB"/>
    <w:rsid w:val="00E44128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aliases w:val="List Paragraph Char Char Char,Indicator Text,Numbered Para 1,Bullet Points,MAIN CONTENT,List Paragraph2,Normal numbered,List Paragraph11,OBC Bullet,F5 List Paragraph,List Paragraph1,Dot pt,Bullet 1,No Spacing1,L"/>
    <w:basedOn w:val="Normal"/>
    <w:link w:val="ListParagraphChar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customStyle="1" w:styleId="ListParagraphChar">
    <w:name w:val="List Paragraph Char"/>
    <w:aliases w:val="List Paragraph Char Char Char Char,Indicator Text Char,Numbered Para 1 Char,Bullet Points Char,MAIN CONTENT Char,List Paragraph2 Char,Normal numbered Char,List Paragraph11 Char,OBC Bullet Char,F5 List Paragraph Char,Dot pt Char"/>
    <w:link w:val="ListParagraph"/>
    <w:uiPriority w:val="34"/>
    <w:qFormat/>
    <w:locked/>
    <w:rsid w:val="00981AD6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liceconduct.gov.uk/who-we-are/equality-and-diversity/welsh-language-standard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cruitment@policeconduct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recommendations/operation-hotton-recommendations-metropolitan-police-service-september-20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2</cp:revision>
  <cp:lastPrinted>2016-07-19T15:38:00Z</cp:lastPrinted>
  <dcterms:created xsi:type="dcterms:W3CDTF">2025-06-24T12:40:00Z</dcterms:created>
  <dcterms:modified xsi:type="dcterms:W3CDTF">2025-06-24T12:40:00Z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-928779367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-158887109</vt:i4>
  </property>
  <property fmtid="{D5CDD505-2E9C-101B-9397-08002B2CF9AE}" pid="8" name="_ReviewingToolsShownOnce">
    <vt:lpwstr/>
  </property>
</Properties>
</file>