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60F990FB" w:rsidR="00F111DE" w:rsidRPr="001C16C4" w:rsidRDefault="00F111DE" w:rsidP="00F111DE">
      <w:pPr>
        <w:spacing w:after="120"/>
        <w:rPr>
          <w:b/>
          <w:bCs/>
        </w:rPr>
      </w:pPr>
      <w:r w:rsidRPr="001C16C4">
        <w:rPr>
          <w:b/>
          <w:bCs/>
        </w:rPr>
        <w:t>T</w:t>
      </w:r>
      <w:r>
        <w:rPr>
          <w:b/>
          <w:bCs/>
        </w:rPr>
        <w:t>itle</w:t>
      </w:r>
      <w:r w:rsidRPr="001C16C4">
        <w:rPr>
          <w:b/>
          <w:bCs/>
        </w:rPr>
        <w:t>:</w:t>
      </w:r>
      <w:r w:rsidR="003E3850">
        <w:rPr>
          <w:b/>
          <w:bCs/>
        </w:rPr>
        <w:t xml:space="preserve"> </w:t>
      </w:r>
      <w:r w:rsidR="003E3850" w:rsidRPr="00936339">
        <w:rPr>
          <w:rFonts w:cs="Arial"/>
          <w:szCs w:val="24"/>
          <w:lang w:val="en-US"/>
        </w:rPr>
        <w:t>People Business Partner</w:t>
      </w:r>
    </w:p>
    <w:p w14:paraId="69CE7D15" w14:textId="1D2B1825" w:rsidR="00F111DE" w:rsidRPr="001C16C4" w:rsidRDefault="00F111DE" w:rsidP="00F111DE">
      <w:pPr>
        <w:spacing w:after="120"/>
        <w:rPr>
          <w:b/>
          <w:bCs/>
        </w:rPr>
      </w:pPr>
      <w:r>
        <w:rPr>
          <w:b/>
          <w:bCs/>
        </w:rPr>
        <w:t>Reports to</w:t>
      </w:r>
      <w:r w:rsidRPr="001C16C4">
        <w:rPr>
          <w:b/>
          <w:bCs/>
        </w:rPr>
        <w:t>:</w:t>
      </w:r>
      <w:r w:rsidR="003E3850">
        <w:rPr>
          <w:b/>
          <w:bCs/>
        </w:rPr>
        <w:t xml:space="preserve"> </w:t>
      </w:r>
      <w:r w:rsidR="003E3850">
        <w:rPr>
          <w:rFonts w:cs="Arial"/>
          <w:szCs w:val="24"/>
          <w:lang w:val="en-US"/>
        </w:rPr>
        <w:t>Deputy Head of People</w:t>
      </w:r>
    </w:p>
    <w:p w14:paraId="31A172CF" w14:textId="3DFE5DF4" w:rsidR="00F111DE" w:rsidRPr="001C16C4" w:rsidRDefault="00F111DE" w:rsidP="00F111DE">
      <w:pPr>
        <w:spacing w:after="120"/>
        <w:rPr>
          <w:b/>
          <w:bCs/>
        </w:rPr>
      </w:pPr>
      <w:r w:rsidRPr="001C16C4">
        <w:rPr>
          <w:b/>
          <w:bCs/>
        </w:rPr>
        <w:t>L</w:t>
      </w:r>
      <w:r>
        <w:rPr>
          <w:b/>
          <w:bCs/>
        </w:rPr>
        <w:t>ocation</w:t>
      </w:r>
      <w:r w:rsidRPr="001C16C4">
        <w:rPr>
          <w:b/>
          <w:bCs/>
        </w:rPr>
        <w:t>:</w:t>
      </w:r>
      <w:r w:rsidR="003E3850">
        <w:rPr>
          <w:b/>
          <w:bCs/>
        </w:rPr>
        <w:t xml:space="preserve"> </w:t>
      </w:r>
      <w:r w:rsidR="003E3850" w:rsidRPr="003E3850">
        <w:t xml:space="preserve">Birmingham, Cardiff, Canary Wharf, Croydon, Sale, Wakefield </w:t>
      </w:r>
      <w:r w:rsidRPr="003E3850">
        <w:tab/>
      </w:r>
    </w:p>
    <w:p w14:paraId="19BE436C" w14:textId="5C7608A5" w:rsidR="00F111DE" w:rsidRPr="001C16C4" w:rsidRDefault="00F111DE" w:rsidP="00F111DE">
      <w:pPr>
        <w:spacing w:after="120"/>
        <w:rPr>
          <w:b/>
          <w:bCs/>
        </w:rPr>
      </w:pPr>
      <w:r w:rsidRPr="001C16C4">
        <w:rPr>
          <w:b/>
          <w:bCs/>
        </w:rPr>
        <w:t>G</w:t>
      </w:r>
      <w:r>
        <w:rPr>
          <w:b/>
          <w:bCs/>
        </w:rPr>
        <w:t>rade</w:t>
      </w:r>
      <w:r w:rsidRPr="001C16C4">
        <w:rPr>
          <w:b/>
          <w:bCs/>
        </w:rPr>
        <w:t>:</w:t>
      </w:r>
      <w:r w:rsidR="003E3850">
        <w:rPr>
          <w:b/>
          <w:bCs/>
        </w:rPr>
        <w:t xml:space="preserve"> </w:t>
      </w:r>
      <w:r w:rsidR="003E3850" w:rsidRPr="003E3850">
        <w:t>13A</w:t>
      </w:r>
      <w:r w:rsidRPr="003E3850">
        <w:tab/>
      </w:r>
    </w:p>
    <w:p w14:paraId="332D4001" w14:textId="462696C5" w:rsidR="00F111DE" w:rsidRPr="001C16C4" w:rsidRDefault="00F111DE" w:rsidP="00F111DE">
      <w:pPr>
        <w:spacing w:after="120"/>
        <w:rPr>
          <w:b/>
          <w:bCs/>
        </w:rPr>
      </w:pPr>
      <w:r w:rsidRPr="001C16C4">
        <w:rPr>
          <w:b/>
          <w:bCs/>
        </w:rPr>
        <w:t>S</w:t>
      </w:r>
      <w:r>
        <w:rPr>
          <w:b/>
          <w:bCs/>
        </w:rPr>
        <w:t>alary</w:t>
      </w:r>
      <w:r w:rsidRPr="001C16C4">
        <w:rPr>
          <w:b/>
          <w:bCs/>
        </w:rPr>
        <w:t xml:space="preserve">: </w:t>
      </w:r>
      <w:r w:rsidR="003E3850" w:rsidRPr="003E3850">
        <w:t>£52,499</w:t>
      </w:r>
      <w:r w:rsidRPr="001C16C4">
        <w:rPr>
          <w:b/>
          <w:bCs/>
        </w:rPr>
        <w:t xml:space="preserve"> </w:t>
      </w:r>
      <w:r w:rsidR="003E3850" w:rsidRPr="003E3850">
        <w:t xml:space="preserve">plus London Weighting £4,968 per annum if based in Canary </w:t>
      </w:r>
      <w:r w:rsidR="003E3850">
        <w:t xml:space="preserve">Wharf </w:t>
      </w:r>
      <w:r w:rsidR="003E3850" w:rsidRPr="003E3850">
        <w:t>or Croydon</w:t>
      </w:r>
    </w:p>
    <w:p w14:paraId="69FD41EC" w14:textId="35295B0C" w:rsidR="00F111DE" w:rsidRPr="001C16C4" w:rsidRDefault="00F111DE" w:rsidP="00F111DE">
      <w:pPr>
        <w:spacing w:after="120"/>
        <w:rPr>
          <w:b/>
          <w:bCs/>
        </w:rPr>
      </w:pPr>
      <w:r w:rsidRPr="001C16C4">
        <w:rPr>
          <w:b/>
          <w:bCs/>
        </w:rPr>
        <w:t>C</w:t>
      </w:r>
      <w:r>
        <w:rPr>
          <w:b/>
          <w:bCs/>
        </w:rPr>
        <w:t>ontract</w:t>
      </w:r>
      <w:r w:rsidRPr="001C16C4">
        <w:rPr>
          <w:b/>
          <w:bCs/>
        </w:rPr>
        <w:t>:</w:t>
      </w:r>
      <w:r w:rsidR="003E3850">
        <w:rPr>
          <w:b/>
          <w:bCs/>
        </w:rPr>
        <w:t xml:space="preserve"> </w:t>
      </w:r>
      <w:r w:rsidR="003E3850" w:rsidRPr="003E3850">
        <w:t>Family Leave – 12 Month</w:t>
      </w:r>
      <w:r w:rsidR="003E3850">
        <w:t xml:space="preserve"> Contract </w:t>
      </w:r>
    </w:p>
    <w:p w14:paraId="47606761" w14:textId="04F067D5" w:rsidR="009D0EA6" w:rsidRPr="001C16C4" w:rsidRDefault="00E329DB" w:rsidP="001C16C4">
      <w:pPr>
        <w:pStyle w:val="Heading1"/>
      </w:pPr>
      <w:r w:rsidRPr="001C16C4">
        <w:t>P</w:t>
      </w:r>
      <w:r w:rsidR="001C16C4">
        <w:t>urpose</w:t>
      </w:r>
    </w:p>
    <w:p w14:paraId="07C1CB92" w14:textId="05DE728F" w:rsidR="0082023D" w:rsidRPr="00293DB6" w:rsidRDefault="0082023D" w:rsidP="00293DB6">
      <w:r w:rsidRPr="00293DB6">
        <w:t xml:space="preserve">As a </w:t>
      </w:r>
      <w:r w:rsidR="003E3850" w:rsidRPr="003E3850">
        <w:rPr>
          <w:color w:val="000000" w:themeColor="text1"/>
        </w:rPr>
        <w:t>People Business Partner</w:t>
      </w:r>
      <w:r w:rsidRPr="00293DB6">
        <w:t>, you will be welcomed into a dynamic and inclusive</w:t>
      </w:r>
      <w:r w:rsidR="003E3850">
        <w:rPr>
          <w:color w:val="FF0000"/>
        </w:rPr>
        <w:t xml:space="preserve"> </w:t>
      </w:r>
      <w:r w:rsidR="003E3850" w:rsidRPr="003E3850">
        <w:rPr>
          <w:color w:val="000000" w:themeColor="text1"/>
        </w:rPr>
        <w:t>People &amp; Change</w:t>
      </w:r>
      <w:r w:rsidRPr="003E3850">
        <w:rPr>
          <w:color w:val="000000" w:themeColor="text1"/>
        </w:rPr>
        <w:t xml:space="preserve"> </w:t>
      </w:r>
      <w:r w:rsidRPr="00293DB6">
        <w:t>team working</w:t>
      </w:r>
      <w:r w:rsidR="003E3850">
        <w:rPr>
          <w:rFonts w:eastAsia="Times New Roman" w:cs="Arial"/>
          <w:szCs w:val="24"/>
          <w:lang w:eastAsia="en-GB"/>
        </w:rPr>
        <w:t xml:space="preserve"> in partnership with senior managers and line managers to build strong and influential working relationships</w:t>
      </w:r>
      <w:r w:rsidR="003E3850" w:rsidRPr="00293DB6">
        <w:t xml:space="preserve"> </w:t>
      </w:r>
      <w:r w:rsidRPr="00293DB6">
        <w:t>The IOPC is on a journey to develop its culture, perspectives and ethos to support the organisation</w:t>
      </w:r>
      <w:r w:rsidR="00003F86">
        <w:t>’</w:t>
      </w:r>
      <w:r w:rsidRPr="00293DB6">
        <w:t>s core outcomes and this is your opportunity to enter into the varied world of</w:t>
      </w:r>
      <w:r w:rsidR="00A10ADF" w:rsidRPr="00293DB6">
        <w:t xml:space="preserve"> IOPC</w:t>
      </w:r>
      <w:r w:rsidRPr="00293DB6">
        <w:t xml:space="preserve"> </w:t>
      </w:r>
      <w:r w:rsidR="003E3850" w:rsidRPr="003E3850">
        <w:rPr>
          <w:color w:val="000000" w:themeColor="text1"/>
        </w:rPr>
        <w:t>People &amp; Change</w:t>
      </w:r>
      <w:r w:rsidRPr="003E3850">
        <w:rPr>
          <w:color w:val="000000" w:themeColor="text1"/>
        </w:rPr>
        <w:t xml:space="preserve">, </w:t>
      </w:r>
      <w:r w:rsidRPr="00293DB6">
        <w:t xml:space="preserve">allowing you to develop your mindset and approaches to contribute to improving the police complaints system in England and Wales. </w:t>
      </w:r>
    </w:p>
    <w:p w14:paraId="5E6ED5E2" w14:textId="0C354FBF" w:rsidR="003E3850" w:rsidRDefault="003E3850" w:rsidP="003E3850">
      <w:pPr>
        <w:rPr>
          <w:rFonts w:eastAsia="Times New Roman" w:cs="Arial"/>
          <w:szCs w:val="24"/>
          <w:lang w:eastAsia="en-GB"/>
        </w:rPr>
      </w:pPr>
      <w:r>
        <w:rPr>
          <w:rFonts w:eastAsia="Times New Roman" w:cs="Arial"/>
          <w:szCs w:val="24"/>
          <w:lang w:eastAsia="en-GB"/>
        </w:rPr>
        <w:t xml:space="preserve">As People Business Partner you will adopt a proactive and responsive approach to the changing needs of the business. You will be integral to understanding the core business, bring insight, add value, and challenge the status quo, to ensure that management are supported to deliver their business objectives. </w:t>
      </w:r>
    </w:p>
    <w:p w14:paraId="5D101F28" w14:textId="35ECA5C7" w:rsidR="003E3850" w:rsidRDefault="003E3850" w:rsidP="003E3850">
      <w:pPr>
        <w:rPr>
          <w:rFonts w:cs="Arial"/>
          <w:szCs w:val="24"/>
        </w:rPr>
      </w:pPr>
      <w:r>
        <w:rPr>
          <w:rFonts w:cs="Arial"/>
          <w:szCs w:val="24"/>
        </w:rPr>
        <w:t>You will</w:t>
      </w:r>
      <w:r w:rsidRPr="00AC6BCC">
        <w:rPr>
          <w:rFonts w:cs="Arial"/>
          <w:szCs w:val="24"/>
        </w:rPr>
        <w:t xml:space="preserve"> work alongside stakeholders to implement and embed the strategic </w:t>
      </w:r>
      <w:r>
        <w:rPr>
          <w:rFonts w:cs="Arial"/>
          <w:szCs w:val="24"/>
        </w:rPr>
        <w:t>People</w:t>
      </w:r>
      <w:r w:rsidRPr="00AC6BCC">
        <w:rPr>
          <w:rFonts w:cs="Arial"/>
          <w:szCs w:val="24"/>
        </w:rPr>
        <w:t xml:space="preserve"> agenda for the business area of responsibility. To provide HR </w:t>
      </w:r>
      <w:r>
        <w:rPr>
          <w:rFonts w:cs="Arial"/>
          <w:szCs w:val="24"/>
        </w:rPr>
        <w:t xml:space="preserve">/ employee relations </w:t>
      </w:r>
      <w:r w:rsidRPr="00AC6BCC">
        <w:rPr>
          <w:rFonts w:cs="Arial"/>
          <w:szCs w:val="24"/>
        </w:rPr>
        <w:t>expertise to the organisation and address all associated people matters in accordance with best practice, internal compliance, and legal requirements.</w:t>
      </w:r>
    </w:p>
    <w:p w14:paraId="5B856405" w14:textId="54E801A7" w:rsidR="003E3850" w:rsidRPr="003E3850" w:rsidRDefault="003E3850" w:rsidP="003E3850">
      <w:pPr>
        <w:rPr>
          <w:rFonts w:eastAsia="Times New Roman" w:cs="Arial"/>
          <w:szCs w:val="24"/>
          <w:lang w:eastAsia="en-GB"/>
        </w:rPr>
      </w:pPr>
      <w:r>
        <w:rPr>
          <w:rFonts w:cs="Arial"/>
          <w:szCs w:val="24"/>
        </w:rPr>
        <w:t xml:space="preserve">As People Business Partner you will </w:t>
      </w:r>
      <w:r w:rsidRPr="00AC6BCC">
        <w:rPr>
          <w:rFonts w:cs="Arial"/>
          <w:szCs w:val="24"/>
        </w:rPr>
        <w:t xml:space="preserve">maximise workforce effectiveness across </w:t>
      </w:r>
      <w:r>
        <w:rPr>
          <w:rFonts w:cs="Arial"/>
          <w:szCs w:val="24"/>
        </w:rPr>
        <w:t xml:space="preserve">your </w:t>
      </w:r>
      <w:r w:rsidRPr="00AC6BCC">
        <w:rPr>
          <w:rFonts w:cs="Arial"/>
          <w:szCs w:val="24"/>
        </w:rPr>
        <w:t xml:space="preserve">designated </w:t>
      </w:r>
      <w:r>
        <w:rPr>
          <w:rFonts w:cs="Arial"/>
          <w:szCs w:val="24"/>
        </w:rPr>
        <w:t>business area of responsibility</w:t>
      </w:r>
      <w:r w:rsidRPr="00AC6BCC">
        <w:rPr>
          <w:rFonts w:cs="Arial"/>
          <w:szCs w:val="24"/>
        </w:rPr>
        <w:t xml:space="preserve">, by </w:t>
      </w:r>
      <w:r>
        <w:rPr>
          <w:rFonts w:cs="Arial"/>
          <w:szCs w:val="24"/>
        </w:rPr>
        <w:t xml:space="preserve">coaching and mentoring </w:t>
      </w:r>
      <w:r w:rsidRPr="00AC6BCC">
        <w:rPr>
          <w:rFonts w:cs="Arial"/>
          <w:szCs w:val="24"/>
        </w:rPr>
        <w:t xml:space="preserve">managers to manage their people. To work in partnership with business leaders to ensure operational goals are achieved through effective people management and to </w:t>
      </w:r>
      <w:r w:rsidRPr="00AC6BCC">
        <w:rPr>
          <w:rFonts w:cs="Arial"/>
          <w:szCs w:val="24"/>
        </w:rPr>
        <w:lastRenderedPageBreak/>
        <w:t>maximise workforce performance through proactive support and advice to line managers.</w:t>
      </w:r>
      <w:r>
        <w:rPr>
          <w:rFonts w:eastAsia="Times New Roman" w:cs="Arial"/>
          <w:szCs w:val="24"/>
          <w:lang w:eastAsia="en-GB"/>
        </w:rPr>
        <w:t xml:space="preserve"> </w:t>
      </w:r>
      <w:r>
        <w:rPr>
          <w:rFonts w:cs="Arial"/>
          <w:szCs w:val="24"/>
          <w:lang w:val="en-US"/>
        </w:rPr>
        <w:t xml:space="preserve">You will deliver the people strategy in </w:t>
      </w:r>
      <w:proofErr w:type="gramStart"/>
      <w:r>
        <w:rPr>
          <w:rFonts w:cs="Arial"/>
          <w:szCs w:val="24"/>
          <w:lang w:val="en-US"/>
        </w:rPr>
        <w:t>area</w:t>
      </w:r>
      <w:proofErr w:type="gramEnd"/>
      <w:r>
        <w:rPr>
          <w:rFonts w:cs="Arial"/>
          <w:szCs w:val="24"/>
          <w:lang w:val="en-US"/>
        </w:rPr>
        <w:t xml:space="preserve"> of responsibility and ensure that workforce planning is undertaken so that the business has the right people with the right skills in the right jobs.</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5BC9EE9C" w:rsidR="004F4BF0" w:rsidRDefault="00F406B4" w:rsidP="00F111DE">
      <w:pPr>
        <w:spacing w:after="0" w:line="240" w:lineRule="auto"/>
        <w:rPr>
          <w:rFonts w:eastAsia="Times New Roman" w:cs="Arial"/>
          <w:noProof/>
          <w:color w:val="000000"/>
          <w:lang w:eastAsia="en-GB"/>
        </w:rPr>
      </w:pPr>
      <w:r w:rsidRPr="00F406B4">
        <w:rPr>
          <w:rFonts w:eastAsia="Times New Roman" w:cs="Arial"/>
          <w:noProof/>
          <w:color w:val="000000"/>
          <w:lang w:eastAsia="en-GB"/>
        </w:rPr>
        <w:t xml:space="preserve">We work in the context of our agreed values which inform the way we do things at the IOPC. The </w:t>
      </w:r>
      <w:r w:rsidR="003E3850" w:rsidRPr="003E3850">
        <w:rPr>
          <w:rFonts w:eastAsia="Times New Roman" w:cs="Arial"/>
          <w:noProof/>
          <w:color w:val="000000" w:themeColor="text1"/>
          <w:lang w:eastAsia="en-GB"/>
        </w:rPr>
        <w:t>People Business Partner</w:t>
      </w:r>
      <w:r w:rsidRPr="003E3850">
        <w:rPr>
          <w:rFonts w:eastAsia="Times New Roman" w:cs="Arial"/>
          <w:noProof/>
          <w:color w:val="000000" w:themeColor="text1"/>
          <w:lang w:eastAsia="en-GB"/>
        </w:rPr>
        <w:t xml:space="preserve"> </w:t>
      </w:r>
      <w:r w:rsidRPr="00F406B4">
        <w:rPr>
          <w:rFonts w:eastAsia="Times New Roman" w:cs="Arial"/>
          <w:noProof/>
          <w:color w:val="000000"/>
          <w:lang w:eastAsia="en-GB"/>
        </w:rPr>
        <w:t>will need to be commited to managing in the context of these values.</w:t>
      </w:r>
    </w:p>
    <w:p w14:paraId="2EF2A261" w14:textId="77777777" w:rsidR="007E049E" w:rsidRDefault="007E049E" w:rsidP="00F111DE">
      <w:pPr>
        <w:spacing w:after="0" w:line="240" w:lineRule="auto"/>
        <w:rPr>
          <w:rFonts w:eastAsia="Times New Roman" w:cs="Arial"/>
          <w:noProof/>
          <w:color w:val="000000"/>
          <w:lang w:eastAsia="en-GB"/>
        </w:rPr>
      </w:pPr>
    </w:p>
    <w:p w14:paraId="67A62767" w14:textId="016466EB" w:rsidR="007E049E" w:rsidRDefault="007E049E" w:rsidP="00F111DE">
      <w:pPr>
        <w:spacing w:after="0" w:line="240" w:lineRule="auto"/>
        <w:rPr>
          <w:rFonts w:eastAsia="Times New Roman" w:cs="Arial"/>
          <w:noProof/>
          <w:color w:val="000000"/>
          <w:lang w:eastAsia="en-GB"/>
        </w:rPr>
      </w:pPr>
      <w:r>
        <w:rPr>
          <w:noProof/>
        </w:rPr>
        <w:drawing>
          <wp:inline distT="0" distB="0" distL="0" distR="0" wp14:anchorId="03CD06DD" wp14:editId="2165051B">
            <wp:extent cx="5251010" cy="4750110"/>
            <wp:effectExtent l="0" t="0" r="6985" b="0"/>
            <wp:docPr id="70135574"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5574" name="Picture 1" descr="A list of questions with text&#10;&#10;AI-generated content may be incorrect."/>
                    <pic:cNvPicPr/>
                  </pic:nvPicPr>
                  <pic:blipFill>
                    <a:blip r:embed="rId11"/>
                    <a:stretch>
                      <a:fillRect/>
                    </a:stretch>
                  </pic:blipFill>
                  <pic:spPr>
                    <a:xfrm>
                      <a:off x="0" y="0"/>
                      <a:ext cx="5256686" cy="4755244"/>
                    </a:xfrm>
                    <a:prstGeom prst="rect">
                      <a:avLst/>
                    </a:prstGeom>
                  </pic:spPr>
                </pic:pic>
              </a:graphicData>
            </a:graphic>
          </wp:inline>
        </w:drawing>
      </w:r>
    </w:p>
    <w:p w14:paraId="4D82B6E5" w14:textId="77777777" w:rsidR="007E049E" w:rsidRPr="00F111DE" w:rsidRDefault="007E049E" w:rsidP="00F111DE">
      <w:pPr>
        <w:spacing w:after="0" w:line="240" w:lineRule="auto"/>
        <w:rPr>
          <w:rFonts w:eastAsia="Times New Roman" w:cs="Arial"/>
          <w:noProof/>
          <w:color w:val="000000"/>
          <w:lang w:eastAsia="en-GB"/>
        </w:rPr>
      </w:pPr>
    </w:p>
    <w:p w14:paraId="2EA921CC" w14:textId="48314E57"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2"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3" w:history="1">
        <w:r w:rsidRPr="003D72AD">
          <w:rPr>
            <w:rStyle w:val="Hyperlink"/>
            <w:rFonts w:cs="Arial"/>
            <w:lang w:val="en"/>
          </w:rPr>
          <w:t>Operation Hotton</w:t>
        </w:r>
      </w:hyperlink>
      <w:r w:rsidRPr="00293DB6">
        <w:rPr>
          <w:lang w:val="en"/>
        </w:rPr>
        <w:t xml:space="preserve">, to </w:t>
      </w:r>
      <w:hyperlink r:id="rId14"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414A1FA" w:rsidR="00C9564D" w:rsidRPr="00F34D6F" w:rsidRDefault="00871213" w:rsidP="00C9564D">
      <w:pPr>
        <w:rPr>
          <w:rFonts w:cs="Arial"/>
          <w:b/>
          <w:i/>
          <w:iCs/>
          <w:szCs w:val="24"/>
        </w:rPr>
      </w:pPr>
      <w:r w:rsidRPr="00F34D6F">
        <w:rPr>
          <w:rFonts w:cs="Arial"/>
          <w:b/>
          <w:i/>
          <w:iCs/>
          <w:noProof/>
          <w:szCs w:val="24"/>
        </w:rPr>
        <w:drawing>
          <wp:anchor distT="0" distB="0" distL="114300" distR="114300" simplePos="0" relativeHeight="251662336" behindDoc="0" locked="0" layoutInCell="1" allowOverlap="1" wp14:anchorId="2F393CC8" wp14:editId="5C23E28D">
            <wp:simplePos x="0" y="0"/>
            <wp:positionH relativeFrom="column">
              <wp:posOffset>476250</wp:posOffset>
            </wp:positionH>
            <wp:positionV relativeFrom="paragraph">
              <wp:posOffset>40640</wp:posOffset>
            </wp:positionV>
            <wp:extent cx="2490136" cy="800100"/>
            <wp:effectExtent l="0" t="0" r="5715" b="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1488" cy="80053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4384" behindDoc="0" locked="0" layoutInCell="1" allowOverlap="1" wp14:anchorId="6E272168" wp14:editId="324D9A56">
            <wp:simplePos x="0" y="0"/>
            <wp:positionH relativeFrom="column">
              <wp:posOffset>3486150</wp:posOffset>
            </wp:positionH>
            <wp:positionV relativeFrom="paragraph">
              <wp:posOffset>59690</wp:posOffset>
            </wp:positionV>
            <wp:extent cx="1845205" cy="885698"/>
            <wp:effectExtent l="0" t="0" r="3175"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845205" cy="885698"/>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57430B9D"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Contributing to developing and implementing the people strategy as a member of the People Directorate Senior Management Team.</w:t>
      </w:r>
    </w:p>
    <w:p w14:paraId="4221732B"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bookmarkStart w:id="2" w:name="_Hlk124671887"/>
      <w:r w:rsidRPr="00936339">
        <w:rPr>
          <w:rFonts w:eastAsia="Times New Roman" w:cs="Arial"/>
          <w:szCs w:val="24"/>
          <w:lang w:eastAsia="en-GB"/>
        </w:rPr>
        <w:t>Adopting a strategic approach to partnering directors</w:t>
      </w:r>
      <w:r>
        <w:rPr>
          <w:rFonts w:eastAsia="Times New Roman" w:cs="Arial"/>
          <w:szCs w:val="24"/>
          <w:lang w:eastAsia="en-GB"/>
        </w:rPr>
        <w:t xml:space="preserve">, </w:t>
      </w:r>
      <w:r w:rsidRPr="00936339">
        <w:rPr>
          <w:rFonts w:eastAsia="Times New Roman" w:cs="Arial"/>
          <w:szCs w:val="24"/>
          <w:lang w:eastAsia="en-GB"/>
        </w:rPr>
        <w:t xml:space="preserve">senior leadership teams </w:t>
      </w:r>
      <w:r>
        <w:rPr>
          <w:rFonts w:eastAsia="Times New Roman" w:cs="Arial"/>
          <w:szCs w:val="24"/>
          <w:lang w:eastAsia="en-GB"/>
        </w:rPr>
        <w:t xml:space="preserve">and managers </w:t>
      </w:r>
      <w:r w:rsidRPr="00936339">
        <w:rPr>
          <w:rFonts w:eastAsia="Times New Roman" w:cs="Arial"/>
          <w:szCs w:val="24"/>
          <w:lang w:eastAsia="en-GB"/>
        </w:rPr>
        <w:t>in designing future workforce requirements, assessing capability, succession planning, and supporting the implementation of diversity and inclusion initiatives.</w:t>
      </w:r>
    </w:p>
    <w:bookmarkEnd w:id="2"/>
    <w:p w14:paraId="184C14C9"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Supporting change, including restructuring, organisational design, and transformation activities, by proactively planning, advising, implementing and evaluating initiatives, and consulting fully with recognised union and employee representatives.</w:t>
      </w:r>
    </w:p>
    <w:p w14:paraId="39C62688"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Supporting directors and senior leadership teams to identify and plan employee engagement and retention interventions, driving increased capability.</w:t>
      </w:r>
    </w:p>
    <w:p w14:paraId="01C0FC23"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bookmarkStart w:id="3" w:name="_Hlk124672101"/>
      <w:r w:rsidRPr="00936339">
        <w:rPr>
          <w:rFonts w:eastAsia="Times New Roman" w:cs="Arial"/>
          <w:szCs w:val="24"/>
          <w:lang w:eastAsia="en-GB"/>
        </w:rPr>
        <w:t>Establishing a performance culture, coaching, and feeding back to managers to improve their capability and accountability.</w:t>
      </w:r>
    </w:p>
    <w:bookmarkEnd w:id="3"/>
    <w:p w14:paraId="63957E30" w14:textId="77777777" w:rsidR="003E3850" w:rsidRPr="00936339" w:rsidRDefault="003E3850" w:rsidP="003E3850">
      <w:pPr>
        <w:pStyle w:val="ListParagraph"/>
        <w:numPr>
          <w:ilvl w:val="0"/>
          <w:numId w:val="29"/>
        </w:numPr>
        <w:spacing w:after="160" w:line="259" w:lineRule="auto"/>
        <w:rPr>
          <w:rFonts w:cs="Arial"/>
          <w:szCs w:val="24"/>
          <w:lang w:val="en-US"/>
        </w:rPr>
      </w:pPr>
      <w:r w:rsidRPr="00936339">
        <w:rPr>
          <w:rFonts w:cs="Arial"/>
          <w:szCs w:val="24"/>
          <w:lang w:val="en-US"/>
        </w:rPr>
        <w:t xml:space="preserve">Leading, managing, motivating, and coaching a team of People Business Partners </w:t>
      </w:r>
      <w:r>
        <w:rPr>
          <w:rFonts w:cs="Arial"/>
          <w:szCs w:val="24"/>
          <w:lang w:val="en-US"/>
        </w:rPr>
        <w:t>and other colleagues as directed</w:t>
      </w:r>
      <w:r w:rsidRPr="00936339">
        <w:rPr>
          <w:rFonts w:cs="Arial"/>
          <w:szCs w:val="24"/>
          <w:lang w:val="en-US"/>
        </w:rPr>
        <w:t>, identifying opportunities for their development and improvement.</w:t>
      </w:r>
    </w:p>
    <w:p w14:paraId="7916EF79"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bookmarkStart w:id="4" w:name="_Hlk124671367"/>
      <w:r w:rsidRPr="00936339">
        <w:rPr>
          <w:rFonts w:eastAsia="Times New Roman" w:cs="Arial"/>
          <w:szCs w:val="24"/>
          <w:lang w:eastAsia="en-GB"/>
        </w:rPr>
        <w:t>Leading on people related projects and initiatives, collaborating with the wider organisation and other departments within the People team.</w:t>
      </w:r>
    </w:p>
    <w:p w14:paraId="7FEDE559"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lastRenderedPageBreak/>
        <w:t>Promoting and embedding equality and diversity as an integral part of organisational practice and culture.</w:t>
      </w:r>
    </w:p>
    <w:p w14:paraId="648472DA"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Working with the Wellbeing Advisor to identify and embed wellbeing principles and processes throughout the organisation.</w:t>
      </w:r>
    </w:p>
    <w:p w14:paraId="48370836"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 xml:space="preserve">Developing and updating people related policies, </w:t>
      </w:r>
      <w:proofErr w:type="gramStart"/>
      <w:r w:rsidRPr="00936339">
        <w:rPr>
          <w:rFonts w:eastAsia="Times New Roman" w:cs="Arial"/>
          <w:szCs w:val="24"/>
          <w:lang w:eastAsia="en-GB"/>
        </w:rPr>
        <w:t>taking into account</w:t>
      </w:r>
      <w:proofErr w:type="gramEnd"/>
      <w:r w:rsidRPr="00936339">
        <w:rPr>
          <w:rFonts w:eastAsia="Times New Roman" w:cs="Arial"/>
          <w:szCs w:val="24"/>
          <w:lang w:eastAsia="en-GB"/>
        </w:rPr>
        <w:t xml:space="preserve"> case law and best practice, acting as a source of expert guidance for the organisation and identifying opportunities for continuous improvement.</w:t>
      </w:r>
    </w:p>
    <w:p w14:paraId="0242D27E"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bookmarkStart w:id="5" w:name="_Hlk124669587"/>
      <w:bookmarkEnd w:id="4"/>
      <w:r w:rsidRPr="00936339">
        <w:rPr>
          <w:rFonts w:eastAsia="Times New Roman" w:cs="Arial"/>
          <w:szCs w:val="24"/>
          <w:lang w:eastAsia="en-GB"/>
        </w:rPr>
        <w:t>Managing a wide range of complex employee relations casework in an effective, pragmatic, and timely manner, providing support and advice to managers, assessing risk, and applying legal and occupational health advice.</w:t>
      </w:r>
    </w:p>
    <w:p w14:paraId="5891DB34"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cs="Arial"/>
          <w:bCs/>
          <w:szCs w:val="24"/>
        </w:rPr>
        <w:t xml:space="preserve">Embedding the principles and practice of restorative practice </w:t>
      </w:r>
      <w:proofErr w:type="gramStart"/>
      <w:r w:rsidRPr="00936339">
        <w:rPr>
          <w:rFonts w:cs="Arial"/>
          <w:bCs/>
          <w:szCs w:val="24"/>
        </w:rPr>
        <w:t>in order to</w:t>
      </w:r>
      <w:proofErr w:type="gramEnd"/>
      <w:r w:rsidRPr="00936339">
        <w:rPr>
          <w:rFonts w:cs="Arial"/>
          <w:bCs/>
          <w:szCs w:val="24"/>
        </w:rPr>
        <w:t xml:space="preserve"> drive culture change throughout the organisation.</w:t>
      </w:r>
    </w:p>
    <w:bookmarkEnd w:id="5"/>
    <w:p w14:paraId="6E9332E8"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Dealing with Employment Tribunal claims through to conclusion.</w:t>
      </w:r>
    </w:p>
    <w:p w14:paraId="2014D709" w14:textId="77777777" w:rsidR="003E3850" w:rsidRPr="00453F81" w:rsidRDefault="003E3850" w:rsidP="003E3850">
      <w:pPr>
        <w:numPr>
          <w:ilvl w:val="0"/>
          <w:numId w:val="29"/>
        </w:numPr>
        <w:shd w:val="clear" w:color="auto" w:fill="FFFFFF"/>
        <w:spacing w:after="150" w:line="240" w:lineRule="auto"/>
        <w:rPr>
          <w:rFonts w:eastAsia="Times New Roman" w:cs="Arial"/>
          <w:szCs w:val="24"/>
          <w:lang w:eastAsia="en-GB"/>
        </w:rPr>
      </w:pPr>
      <w:r w:rsidRPr="00453F81">
        <w:rPr>
          <w:rFonts w:eastAsia="Times New Roman" w:cs="Arial"/>
          <w:szCs w:val="24"/>
          <w:lang w:eastAsia="en-GB"/>
        </w:rPr>
        <w:t>Exploring solutions for disposal of employee relations cases and submitting business cases for authorisation by the Home Office and Cabinet office for severance schemes as required.</w:t>
      </w:r>
    </w:p>
    <w:p w14:paraId="5A8A2559" w14:textId="77777777" w:rsidR="003E3850" w:rsidRPr="00936339" w:rsidRDefault="003E3850" w:rsidP="003E3850">
      <w:pPr>
        <w:pStyle w:val="ListParagraph"/>
        <w:numPr>
          <w:ilvl w:val="0"/>
          <w:numId w:val="29"/>
        </w:numPr>
        <w:spacing w:after="0" w:line="276" w:lineRule="auto"/>
        <w:contextualSpacing w:val="0"/>
        <w:rPr>
          <w:rFonts w:cs="Arial"/>
          <w:bCs/>
          <w:szCs w:val="24"/>
        </w:rPr>
      </w:pPr>
      <w:bookmarkStart w:id="6" w:name="_Hlk124670901"/>
      <w:r w:rsidRPr="00936339">
        <w:rPr>
          <w:rFonts w:cs="Arial"/>
          <w:bCs/>
          <w:szCs w:val="24"/>
        </w:rPr>
        <w:t>Supporting investigations into staff related matters, advising on the process and legalities.</w:t>
      </w:r>
    </w:p>
    <w:p w14:paraId="00C7A033"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bookmarkStart w:id="7" w:name="_Hlk124674464"/>
      <w:bookmarkEnd w:id="6"/>
      <w:r w:rsidRPr="00936339">
        <w:rPr>
          <w:rFonts w:eastAsia="Times New Roman" w:cs="Arial"/>
          <w:szCs w:val="24"/>
          <w:lang w:eastAsia="en-GB"/>
        </w:rPr>
        <w:t>Planning and overseeing recruitment within designated business areas, mapping timescales, and identifying risks and issues.</w:t>
      </w:r>
    </w:p>
    <w:bookmarkEnd w:id="7"/>
    <w:p w14:paraId="05598857"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Working closely with the recruitment team to develop best practice and increase efficiency in hiring high calibre staff.</w:t>
      </w:r>
    </w:p>
    <w:p w14:paraId="56D033D8"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bookmarkStart w:id="8" w:name="_Hlk124675370"/>
      <w:r w:rsidRPr="00936339">
        <w:rPr>
          <w:rFonts w:eastAsia="Times New Roman" w:cs="Arial"/>
          <w:szCs w:val="24"/>
          <w:lang w:eastAsia="en-GB"/>
        </w:rPr>
        <w:t>Providing advice and guidance on job design and participating in job evaluation panels.</w:t>
      </w:r>
    </w:p>
    <w:bookmarkEnd w:id="8"/>
    <w:p w14:paraId="0C61BA53"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Work in collaboration with the Information asset owner to review and sign off freedom of information and subject access requests, escalating items where relevant.</w:t>
      </w:r>
    </w:p>
    <w:p w14:paraId="1C35B601"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 xml:space="preserve">Foster close working relationships with the wider People directorate, identifying improvements around linked systems and policies etc, and working in collaboration to implement changes. </w:t>
      </w:r>
    </w:p>
    <w:p w14:paraId="6975302E" w14:textId="77777777" w:rsidR="00EA371B" w:rsidRDefault="00EA371B" w:rsidP="00C24271"/>
    <w:p w14:paraId="62D2E6A4" w14:textId="77777777" w:rsidR="003E3850" w:rsidRPr="00C24271" w:rsidRDefault="003E3850" w:rsidP="00C24271"/>
    <w:p w14:paraId="4FC6506B" w14:textId="5415A393" w:rsidR="0099482D" w:rsidRPr="00C24271" w:rsidRDefault="00E329DB" w:rsidP="00C24271">
      <w:pPr>
        <w:pStyle w:val="Heading1"/>
      </w:pPr>
      <w:r w:rsidRPr="00C24271">
        <w:t>P</w:t>
      </w:r>
      <w:r w:rsidR="00C24271">
        <w:t>erson specification</w:t>
      </w:r>
    </w:p>
    <w:p w14:paraId="7C3E71B2" w14:textId="77777777" w:rsidR="003E3850" w:rsidRDefault="003E3850" w:rsidP="003E3850">
      <w:pPr>
        <w:spacing w:line="276" w:lineRule="auto"/>
        <w:textAlignment w:val="baseline"/>
        <w:rPr>
          <w:rFonts w:cs="Arial"/>
          <w:b/>
          <w:bCs/>
          <w:szCs w:val="24"/>
        </w:rPr>
      </w:pPr>
      <w:r>
        <w:rPr>
          <w:rFonts w:cs="Arial"/>
          <w:b/>
          <w:bCs/>
          <w:szCs w:val="24"/>
        </w:rPr>
        <w:t>Qualifications:</w:t>
      </w:r>
    </w:p>
    <w:p w14:paraId="029CA81D" w14:textId="77777777" w:rsidR="003E3850" w:rsidRPr="00453F81" w:rsidRDefault="003E3850" w:rsidP="003E3850">
      <w:pPr>
        <w:numPr>
          <w:ilvl w:val="0"/>
          <w:numId w:val="29"/>
        </w:numPr>
        <w:shd w:val="clear" w:color="auto" w:fill="FFFFFF"/>
        <w:spacing w:after="0" w:line="276" w:lineRule="auto"/>
        <w:rPr>
          <w:rFonts w:cs="Arial"/>
          <w:szCs w:val="24"/>
        </w:rPr>
      </w:pPr>
      <w:r w:rsidRPr="00936339">
        <w:rPr>
          <w:rFonts w:eastAsia="Times New Roman" w:cs="Arial"/>
          <w:szCs w:val="24"/>
          <w:lang w:eastAsia="en-GB"/>
        </w:rPr>
        <w:t xml:space="preserve">Educated to degree level, or equivalent experience, with a postgraduate qualification in Human Resources or a related discipline.  </w:t>
      </w:r>
    </w:p>
    <w:p w14:paraId="4EEA0A1F" w14:textId="77777777" w:rsidR="003E3850" w:rsidRPr="00936339" w:rsidRDefault="003E3850" w:rsidP="003E3850">
      <w:pPr>
        <w:numPr>
          <w:ilvl w:val="0"/>
          <w:numId w:val="29"/>
        </w:numPr>
        <w:shd w:val="clear" w:color="auto" w:fill="FFFFFF"/>
        <w:spacing w:after="0" w:line="276" w:lineRule="auto"/>
        <w:rPr>
          <w:rFonts w:cs="Arial"/>
          <w:szCs w:val="24"/>
        </w:rPr>
      </w:pPr>
      <w:r w:rsidRPr="00936339">
        <w:rPr>
          <w:rFonts w:eastAsia="Times New Roman" w:cs="Arial"/>
          <w:szCs w:val="24"/>
          <w:lang w:eastAsia="en-GB"/>
        </w:rPr>
        <w:t>CIPD level 7</w:t>
      </w:r>
      <w:r>
        <w:rPr>
          <w:rFonts w:eastAsia="Times New Roman" w:cs="Arial"/>
          <w:szCs w:val="24"/>
          <w:lang w:eastAsia="en-GB"/>
        </w:rPr>
        <w:t xml:space="preserve"> qualification.</w:t>
      </w:r>
    </w:p>
    <w:p w14:paraId="039319D7" w14:textId="77777777" w:rsidR="003E3850" w:rsidRDefault="003E3850" w:rsidP="003E3850">
      <w:pPr>
        <w:spacing w:line="276" w:lineRule="auto"/>
        <w:textAlignment w:val="baseline"/>
        <w:rPr>
          <w:rFonts w:cs="Arial"/>
          <w:b/>
          <w:bCs/>
          <w:szCs w:val="24"/>
        </w:rPr>
      </w:pPr>
    </w:p>
    <w:p w14:paraId="3D52F7AA" w14:textId="77777777" w:rsidR="003E3850" w:rsidRDefault="003E3850" w:rsidP="003E3850">
      <w:pPr>
        <w:spacing w:line="276" w:lineRule="auto"/>
        <w:textAlignment w:val="baseline"/>
        <w:rPr>
          <w:rFonts w:cs="Arial"/>
          <w:b/>
          <w:bCs/>
          <w:szCs w:val="24"/>
        </w:rPr>
      </w:pPr>
      <w:r>
        <w:rPr>
          <w:rFonts w:cs="Arial"/>
          <w:b/>
          <w:bCs/>
          <w:szCs w:val="24"/>
        </w:rPr>
        <w:t>Knowledge:</w:t>
      </w:r>
    </w:p>
    <w:p w14:paraId="32F41531" w14:textId="77777777" w:rsidR="003E3850" w:rsidRPr="00453F81" w:rsidRDefault="003E3850" w:rsidP="003E3850">
      <w:pPr>
        <w:pStyle w:val="ListParagraph"/>
        <w:numPr>
          <w:ilvl w:val="0"/>
          <w:numId w:val="31"/>
        </w:numPr>
        <w:spacing w:after="160" w:line="276" w:lineRule="auto"/>
        <w:textAlignment w:val="baseline"/>
        <w:rPr>
          <w:rFonts w:cs="Arial"/>
          <w:b/>
          <w:bCs/>
          <w:szCs w:val="24"/>
        </w:rPr>
      </w:pPr>
      <w:r>
        <w:rPr>
          <w:rFonts w:cs="Arial"/>
          <w:szCs w:val="24"/>
        </w:rPr>
        <w:t>Comprehensive knowledge of employment legislation and its practical application in the workplace.</w:t>
      </w:r>
    </w:p>
    <w:p w14:paraId="58DDC9DF" w14:textId="77777777" w:rsidR="003E3850" w:rsidRPr="00E7479A" w:rsidRDefault="003E3850" w:rsidP="003E3850">
      <w:pPr>
        <w:pStyle w:val="ListParagraph"/>
        <w:numPr>
          <w:ilvl w:val="0"/>
          <w:numId w:val="31"/>
        </w:numPr>
        <w:spacing w:after="160" w:line="276" w:lineRule="auto"/>
        <w:textAlignment w:val="baseline"/>
        <w:rPr>
          <w:rFonts w:cs="Arial"/>
          <w:b/>
          <w:bCs/>
          <w:szCs w:val="24"/>
        </w:rPr>
      </w:pPr>
      <w:r>
        <w:rPr>
          <w:rFonts w:cs="Arial"/>
          <w:szCs w:val="24"/>
        </w:rPr>
        <w:t>Extensive knowledge of people best practice.</w:t>
      </w:r>
    </w:p>
    <w:p w14:paraId="4F965E61" w14:textId="77777777" w:rsidR="003E3850" w:rsidRPr="00D12D25" w:rsidRDefault="003E3850" w:rsidP="003E3850">
      <w:pPr>
        <w:pStyle w:val="ListParagraph"/>
        <w:numPr>
          <w:ilvl w:val="0"/>
          <w:numId w:val="31"/>
        </w:numPr>
        <w:spacing w:after="160" w:line="276" w:lineRule="auto"/>
        <w:textAlignment w:val="baseline"/>
        <w:rPr>
          <w:rFonts w:cs="Arial"/>
          <w:b/>
          <w:bCs/>
          <w:szCs w:val="24"/>
        </w:rPr>
      </w:pPr>
      <w:r>
        <w:rPr>
          <w:rFonts w:cs="Arial"/>
          <w:szCs w:val="24"/>
        </w:rPr>
        <w:t>Knowledge of workforce and succession planning.</w:t>
      </w:r>
    </w:p>
    <w:p w14:paraId="56AF9E6E" w14:textId="77777777" w:rsidR="003E3850" w:rsidRPr="00453F81" w:rsidRDefault="003E3850" w:rsidP="003E3850">
      <w:pPr>
        <w:pStyle w:val="ListParagraph"/>
        <w:numPr>
          <w:ilvl w:val="0"/>
          <w:numId w:val="31"/>
        </w:numPr>
        <w:spacing w:after="160" w:line="276" w:lineRule="auto"/>
        <w:textAlignment w:val="baseline"/>
        <w:rPr>
          <w:rFonts w:cs="Arial"/>
          <w:b/>
          <w:bCs/>
          <w:szCs w:val="24"/>
        </w:rPr>
      </w:pPr>
      <w:r>
        <w:rPr>
          <w:rFonts w:cs="Arial"/>
          <w:szCs w:val="24"/>
        </w:rPr>
        <w:t>Knowledge of change management methodologies and delivering change effectively.</w:t>
      </w:r>
    </w:p>
    <w:p w14:paraId="2A5DD115" w14:textId="77777777" w:rsidR="003E3850" w:rsidRPr="00936339" w:rsidRDefault="003E3850" w:rsidP="003E3850">
      <w:pPr>
        <w:spacing w:line="276" w:lineRule="auto"/>
        <w:textAlignment w:val="baseline"/>
        <w:rPr>
          <w:rFonts w:cs="Arial"/>
          <w:b/>
          <w:bCs/>
          <w:szCs w:val="24"/>
        </w:rPr>
      </w:pPr>
      <w:r>
        <w:rPr>
          <w:rFonts w:cs="Arial"/>
          <w:b/>
          <w:bCs/>
          <w:szCs w:val="24"/>
        </w:rPr>
        <w:t>Experience:</w:t>
      </w:r>
    </w:p>
    <w:p w14:paraId="6C2AD46A" w14:textId="77777777" w:rsidR="003E3850" w:rsidRPr="00936339" w:rsidRDefault="003E3850" w:rsidP="003E3850">
      <w:pPr>
        <w:pStyle w:val="ListParagraph"/>
        <w:numPr>
          <w:ilvl w:val="0"/>
          <w:numId w:val="29"/>
        </w:numPr>
        <w:spacing w:after="0" w:line="276" w:lineRule="auto"/>
        <w:rPr>
          <w:rFonts w:cs="Arial"/>
          <w:szCs w:val="24"/>
        </w:rPr>
      </w:pPr>
      <w:r w:rsidRPr="00936339">
        <w:rPr>
          <w:rFonts w:cs="Arial"/>
          <w:szCs w:val="24"/>
        </w:rPr>
        <w:t xml:space="preserve">Significant experience of </w:t>
      </w:r>
      <w:r>
        <w:rPr>
          <w:rFonts w:cs="Arial"/>
          <w:szCs w:val="24"/>
        </w:rPr>
        <w:t>b</w:t>
      </w:r>
      <w:r w:rsidRPr="00936339">
        <w:rPr>
          <w:rFonts w:cs="Arial"/>
          <w:szCs w:val="24"/>
        </w:rPr>
        <w:t xml:space="preserve">usiness </w:t>
      </w:r>
      <w:r>
        <w:rPr>
          <w:rFonts w:cs="Arial"/>
          <w:szCs w:val="24"/>
        </w:rPr>
        <w:t>p</w:t>
      </w:r>
      <w:r w:rsidRPr="00936339">
        <w:rPr>
          <w:rFonts w:cs="Arial"/>
          <w:szCs w:val="24"/>
        </w:rPr>
        <w:t>artnering in a dynamic multi-functional environment.</w:t>
      </w:r>
    </w:p>
    <w:p w14:paraId="4223D2C8" w14:textId="77777777" w:rsidR="003E3850" w:rsidRPr="00936339" w:rsidRDefault="003E3850" w:rsidP="003E3850">
      <w:pPr>
        <w:pStyle w:val="ListParagraph"/>
        <w:numPr>
          <w:ilvl w:val="0"/>
          <w:numId w:val="29"/>
        </w:numPr>
        <w:spacing w:after="0" w:line="276" w:lineRule="auto"/>
        <w:rPr>
          <w:rFonts w:cs="Arial"/>
          <w:szCs w:val="24"/>
        </w:rPr>
      </w:pPr>
      <w:r>
        <w:rPr>
          <w:rFonts w:cs="Arial"/>
          <w:szCs w:val="24"/>
        </w:rPr>
        <w:t>E</w:t>
      </w:r>
      <w:r w:rsidRPr="00936339">
        <w:rPr>
          <w:rFonts w:cs="Arial"/>
          <w:szCs w:val="24"/>
        </w:rPr>
        <w:t xml:space="preserve">xperience of applying </w:t>
      </w:r>
      <w:r>
        <w:rPr>
          <w:rFonts w:cs="Arial"/>
          <w:szCs w:val="24"/>
        </w:rPr>
        <w:t>employment law</w:t>
      </w:r>
      <w:r w:rsidRPr="00936339">
        <w:rPr>
          <w:rFonts w:cs="Arial"/>
          <w:szCs w:val="24"/>
        </w:rPr>
        <w:t xml:space="preserve"> pragmatically in handling complex employee relations, resourcing, change management and performance management matters.</w:t>
      </w:r>
    </w:p>
    <w:p w14:paraId="735A0843" w14:textId="77777777" w:rsidR="003E3850" w:rsidRPr="00936339" w:rsidRDefault="003E3850" w:rsidP="003E3850">
      <w:pPr>
        <w:pStyle w:val="ListParagraph"/>
        <w:numPr>
          <w:ilvl w:val="0"/>
          <w:numId w:val="29"/>
        </w:numPr>
        <w:spacing w:after="0" w:line="276" w:lineRule="auto"/>
        <w:rPr>
          <w:rFonts w:cs="Arial"/>
          <w:szCs w:val="24"/>
        </w:rPr>
      </w:pPr>
      <w:r w:rsidRPr="00936339">
        <w:rPr>
          <w:rFonts w:cs="Arial"/>
          <w:szCs w:val="24"/>
        </w:rPr>
        <w:t>Proven track record of prov</w:t>
      </w:r>
      <w:r>
        <w:rPr>
          <w:rFonts w:cs="Arial"/>
          <w:szCs w:val="24"/>
        </w:rPr>
        <w:t>id</w:t>
      </w:r>
      <w:r w:rsidRPr="00936339">
        <w:rPr>
          <w:rFonts w:cs="Arial"/>
          <w:szCs w:val="24"/>
        </w:rPr>
        <w:t xml:space="preserve">ing credible, expert </w:t>
      </w:r>
      <w:r>
        <w:rPr>
          <w:rFonts w:cs="Arial"/>
          <w:szCs w:val="24"/>
        </w:rPr>
        <w:t xml:space="preserve">people </w:t>
      </w:r>
      <w:r w:rsidRPr="00936339">
        <w:rPr>
          <w:rFonts w:cs="Arial"/>
          <w:szCs w:val="24"/>
        </w:rPr>
        <w:t xml:space="preserve">advice to </w:t>
      </w:r>
      <w:r>
        <w:rPr>
          <w:rFonts w:cs="Arial"/>
          <w:szCs w:val="24"/>
        </w:rPr>
        <w:t xml:space="preserve">leadership teams and </w:t>
      </w:r>
      <w:r w:rsidRPr="00936339">
        <w:rPr>
          <w:rFonts w:cs="Arial"/>
          <w:szCs w:val="24"/>
        </w:rPr>
        <w:t>managers in a complex environment.</w:t>
      </w:r>
    </w:p>
    <w:p w14:paraId="5FFBE8BA" w14:textId="77777777" w:rsidR="003E3850" w:rsidRPr="00936339" w:rsidRDefault="003E3850" w:rsidP="003E3850">
      <w:pPr>
        <w:pStyle w:val="ListParagraph"/>
        <w:numPr>
          <w:ilvl w:val="0"/>
          <w:numId w:val="29"/>
        </w:numPr>
        <w:spacing w:after="0" w:line="276" w:lineRule="auto"/>
        <w:rPr>
          <w:rFonts w:cs="Arial"/>
          <w:szCs w:val="24"/>
        </w:rPr>
      </w:pPr>
      <w:r w:rsidRPr="00936339">
        <w:rPr>
          <w:rFonts w:cs="Arial"/>
          <w:szCs w:val="24"/>
        </w:rPr>
        <w:t>Experience of negotiating and consulting with recognised trade unions</w:t>
      </w:r>
      <w:r>
        <w:rPr>
          <w:rFonts w:cs="Arial"/>
          <w:szCs w:val="24"/>
        </w:rPr>
        <w:t xml:space="preserve"> and or staff representative bodies</w:t>
      </w:r>
      <w:r w:rsidRPr="00936339">
        <w:rPr>
          <w:rFonts w:cs="Arial"/>
          <w:szCs w:val="24"/>
        </w:rPr>
        <w:t>.</w:t>
      </w:r>
    </w:p>
    <w:p w14:paraId="5E1C011C" w14:textId="77777777" w:rsidR="003E3850" w:rsidRPr="00936339" w:rsidRDefault="003E3850" w:rsidP="003E3850">
      <w:pPr>
        <w:pStyle w:val="ListParagraph"/>
        <w:numPr>
          <w:ilvl w:val="0"/>
          <w:numId w:val="29"/>
        </w:numPr>
        <w:shd w:val="clear" w:color="auto" w:fill="FFFFFF"/>
        <w:spacing w:after="150" w:line="240" w:lineRule="auto"/>
        <w:rPr>
          <w:rFonts w:eastAsia="Times New Roman" w:cs="Arial"/>
          <w:szCs w:val="24"/>
          <w:lang w:eastAsia="en-GB"/>
        </w:rPr>
      </w:pPr>
      <w:r w:rsidRPr="00936339">
        <w:rPr>
          <w:rFonts w:cs="Arial"/>
          <w:szCs w:val="24"/>
        </w:rPr>
        <w:t>Track record of designing, delivering and implementing tailored people related solutions, policies and procedures</w:t>
      </w:r>
      <w:r>
        <w:rPr>
          <w:rFonts w:cs="Arial"/>
          <w:szCs w:val="24"/>
        </w:rPr>
        <w:t>.</w:t>
      </w:r>
    </w:p>
    <w:p w14:paraId="73636B55" w14:textId="77777777" w:rsidR="003E3850" w:rsidRDefault="003E3850" w:rsidP="003E3850">
      <w:pPr>
        <w:pStyle w:val="ListParagraph"/>
        <w:numPr>
          <w:ilvl w:val="0"/>
          <w:numId w:val="30"/>
        </w:numPr>
        <w:spacing w:after="0" w:line="276" w:lineRule="auto"/>
        <w:rPr>
          <w:rFonts w:cs="Arial"/>
          <w:szCs w:val="24"/>
        </w:rPr>
      </w:pPr>
      <w:r w:rsidRPr="00936339">
        <w:rPr>
          <w:rFonts w:cs="Arial"/>
          <w:szCs w:val="24"/>
        </w:rPr>
        <w:t>Able to work across multiple sites, including travelling and occasional overnight stays.</w:t>
      </w:r>
    </w:p>
    <w:p w14:paraId="481985C1" w14:textId="77777777" w:rsidR="003E3850" w:rsidRDefault="003E3850" w:rsidP="003E3850">
      <w:pPr>
        <w:spacing w:after="0" w:line="276" w:lineRule="auto"/>
        <w:rPr>
          <w:rFonts w:cs="Arial"/>
          <w:szCs w:val="24"/>
        </w:rPr>
      </w:pPr>
    </w:p>
    <w:p w14:paraId="162D09EB" w14:textId="77777777" w:rsidR="003E3850" w:rsidRDefault="003E3850" w:rsidP="003E3850">
      <w:pPr>
        <w:spacing w:after="0" w:line="276" w:lineRule="auto"/>
        <w:rPr>
          <w:rFonts w:cs="Arial"/>
          <w:szCs w:val="24"/>
          <w:u w:val="single"/>
        </w:rPr>
      </w:pPr>
      <w:r>
        <w:rPr>
          <w:rFonts w:cs="Arial"/>
          <w:szCs w:val="24"/>
          <w:u w:val="single"/>
        </w:rPr>
        <w:t>Desirable:</w:t>
      </w:r>
    </w:p>
    <w:p w14:paraId="58E236D0" w14:textId="77777777" w:rsidR="003E3850" w:rsidRDefault="003E3850" w:rsidP="003E3850">
      <w:pPr>
        <w:spacing w:after="0" w:line="276" w:lineRule="auto"/>
        <w:rPr>
          <w:rFonts w:cs="Arial"/>
          <w:szCs w:val="24"/>
          <w:u w:val="single"/>
        </w:rPr>
      </w:pPr>
    </w:p>
    <w:p w14:paraId="795DBD79" w14:textId="77777777" w:rsidR="003E3850" w:rsidRPr="00D12D25" w:rsidRDefault="003E3850" w:rsidP="003E3850">
      <w:pPr>
        <w:pStyle w:val="ListParagraph"/>
        <w:numPr>
          <w:ilvl w:val="0"/>
          <w:numId w:val="30"/>
        </w:numPr>
        <w:spacing w:after="0" w:line="276" w:lineRule="auto"/>
        <w:rPr>
          <w:rFonts w:cs="Arial"/>
          <w:szCs w:val="24"/>
          <w:u w:val="single"/>
        </w:rPr>
      </w:pPr>
      <w:r>
        <w:rPr>
          <w:rFonts w:cs="Arial"/>
          <w:szCs w:val="24"/>
        </w:rPr>
        <w:t>Experience of working in the public, not for profit or charity sector.</w:t>
      </w:r>
    </w:p>
    <w:p w14:paraId="1C3ACB16" w14:textId="77777777" w:rsidR="003E3850" w:rsidRDefault="003E3850" w:rsidP="003E3850">
      <w:pPr>
        <w:spacing w:after="0" w:line="276" w:lineRule="auto"/>
        <w:rPr>
          <w:rFonts w:cs="Arial"/>
          <w:szCs w:val="24"/>
        </w:rPr>
      </w:pPr>
    </w:p>
    <w:p w14:paraId="168DD5D9" w14:textId="77777777" w:rsidR="003E3850" w:rsidRPr="00D12D25" w:rsidRDefault="003E3850" w:rsidP="003E3850">
      <w:pPr>
        <w:spacing w:after="0" w:line="276" w:lineRule="auto"/>
        <w:rPr>
          <w:rFonts w:cs="Arial"/>
          <w:b/>
          <w:bCs/>
          <w:szCs w:val="24"/>
        </w:rPr>
      </w:pPr>
      <w:r>
        <w:rPr>
          <w:rFonts w:cs="Arial"/>
          <w:b/>
          <w:bCs/>
          <w:szCs w:val="24"/>
        </w:rPr>
        <w:t>Skills:</w:t>
      </w:r>
    </w:p>
    <w:p w14:paraId="5A51AAEA"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Strategic awareness and the ability to apply this to operational challenges to positively impact business results.</w:t>
      </w:r>
    </w:p>
    <w:p w14:paraId="0A16BEFC"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Ability to confidently manage and influence a diverse and challenging range of senior stakeholders.</w:t>
      </w:r>
    </w:p>
    <w:p w14:paraId="25A97335"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 xml:space="preserve">Ability to identify and assess risks, mitigating these where possible and reaching balanced decisions. </w:t>
      </w:r>
    </w:p>
    <w:p w14:paraId="70B591CA"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Ability to lead, motivate, coach, and manage a team of people practitioners.</w:t>
      </w:r>
    </w:p>
    <w:p w14:paraId="00A6F4E9"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Excellent communicator, with strong coaching and influencing skills.</w:t>
      </w:r>
    </w:p>
    <w:p w14:paraId="200E524F"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Ability to analyse data and apply analytics to improve business delivery.</w:t>
      </w:r>
    </w:p>
    <w:p w14:paraId="60785500" w14:textId="77777777" w:rsidR="003E3850" w:rsidRPr="00936339" w:rsidRDefault="003E3850" w:rsidP="003E3850">
      <w:pPr>
        <w:numPr>
          <w:ilvl w:val="0"/>
          <w:numId w:val="29"/>
        </w:numPr>
        <w:shd w:val="clear" w:color="auto" w:fill="FFFFFF"/>
        <w:spacing w:after="150" w:line="240" w:lineRule="auto"/>
        <w:rPr>
          <w:rFonts w:eastAsia="Times New Roman" w:cs="Arial"/>
          <w:szCs w:val="24"/>
          <w:lang w:eastAsia="en-GB"/>
        </w:rPr>
      </w:pPr>
      <w:r w:rsidRPr="00936339">
        <w:rPr>
          <w:rFonts w:eastAsia="Times New Roman" w:cs="Arial"/>
          <w:szCs w:val="24"/>
          <w:lang w:eastAsia="en-GB"/>
        </w:rPr>
        <w:t>Strong commercial awareness, with the ability to balance commercial success with organisational values.</w:t>
      </w:r>
    </w:p>
    <w:p w14:paraId="0361BE1A" w14:textId="77777777" w:rsidR="003E3850" w:rsidRPr="00936339" w:rsidRDefault="003E3850" w:rsidP="003E3850">
      <w:pPr>
        <w:numPr>
          <w:ilvl w:val="0"/>
          <w:numId w:val="29"/>
        </w:numPr>
        <w:shd w:val="clear" w:color="auto" w:fill="FFFFFF"/>
        <w:spacing w:after="150" w:line="240" w:lineRule="auto"/>
        <w:rPr>
          <w:rFonts w:eastAsia="Times New Roman" w:cs="Arial"/>
          <w:bCs/>
          <w:szCs w:val="24"/>
          <w:lang w:eastAsia="en-GB"/>
        </w:rPr>
      </w:pPr>
      <w:r w:rsidRPr="00936339">
        <w:rPr>
          <w:rFonts w:cs="Arial"/>
          <w:bCs/>
          <w:szCs w:val="24"/>
        </w:rPr>
        <w:lastRenderedPageBreak/>
        <w:t>Strong IT skills, with the ability to input, report and interpret data from HRIS and recruitment / applicant tracking systems</w:t>
      </w:r>
      <w:r>
        <w:rPr>
          <w:rFonts w:cs="Arial"/>
          <w:bCs/>
          <w:szCs w:val="24"/>
        </w:rPr>
        <w:t>.</w:t>
      </w:r>
    </w:p>
    <w:p w14:paraId="6F3F1483" w14:textId="77777777" w:rsidR="00FC687A" w:rsidRPr="00CF5EA5" w:rsidRDefault="00FC687A" w:rsidP="00FC687A"/>
    <w:p w14:paraId="6202E8CA" w14:textId="77777777" w:rsidR="00FC687A" w:rsidRPr="00C24271" w:rsidRDefault="00FC687A" w:rsidP="00FC687A">
      <w:pPr>
        <w:pStyle w:val="Heading2"/>
      </w:pPr>
      <w:r w:rsidRPr="00C24271">
        <w:t xml:space="preserve">Reasonable adjustments </w:t>
      </w:r>
    </w:p>
    <w:p w14:paraId="24A96952" w14:textId="1D2CBC65" w:rsidR="00FC687A" w:rsidRDefault="00FC687A" w:rsidP="00FC687A">
      <w:bookmarkStart w:id="9"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7" w:history="1">
        <w:r w:rsidR="00BB7D3B" w:rsidRPr="00016F34">
          <w:rPr>
            <w:rStyle w:val="Hyperlink"/>
            <w:rFonts w:cs="Arial"/>
            <w:bdr w:val="none" w:sz="0" w:space="0" w:color="auto"/>
          </w:rPr>
          <w:t>recruitment@policeconduct.gov.uk</w:t>
        </w:r>
      </w:hyperlink>
      <w:r w:rsidRPr="00CF67E6">
        <w:t xml:space="preserve"> </w:t>
      </w:r>
    </w:p>
    <w:bookmarkEnd w:id="9"/>
    <w:p w14:paraId="123A43C3" w14:textId="77777777" w:rsidR="00FC687A" w:rsidRPr="00E261D5" w:rsidRDefault="00FC687A" w:rsidP="00FC687A">
      <w:pPr>
        <w:pStyle w:val="Heading2"/>
      </w:pPr>
      <w:r w:rsidRPr="00E261D5">
        <w:t xml:space="preserve">Working </w:t>
      </w:r>
      <w:r w:rsidRPr="001C16C4">
        <w:t>condit</w:t>
      </w:r>
      <w:r w:rsidRPr="00E261D5">
        <w:t>ions</w:t>
      </w:r>
    </w:p>
    <w:p w14:paraId="60464291" w14:textId="3E237AE9" w:rsidR="00FC687A" w:rsidRDefault="00FC687A" w:rsidP="00FC687A">
      <w:pPr>
        <w:rPr>
          <w:rFonts w:cs="Arial"/>
          <w:szCs w:val="24"/>
        </w:rPr>
      </w:pPr>
      <w:r>
        <w:rPr>
          <w:rFonts w:cs="Arial"/>
          <w:szCs w:val="24"/>
        </w:rPr>
        <w:t xml:space="preserve">The IOPC are currently consulting with our consultative bodies about proposed changes to our hybrid working policy which will require all staff to work 20% of their contractual hours at their office base (or another office for business reasons) from 1 September </w:t>
      </w:r>
      <w:r w:rsidR="007E049E">
        <w:rPr>
          <w:rFonts w:cs="Arial"/>
          <w:szCs w:val="24"/>
        </w:rPr>
        <w:t xml:space="preserve">2024 </w:t>
      </w:r>
      <w:r>
        <w:rPr>
          <w:rFonts w:cs="Arial"/>
          <w:szCs w:val="24"/>
        </w:rPr>
        <w:t>and</w:t>
      </w:r>
      <w:r w:rsidR="007E049E">
        <w:rPr>
          <w:rFonts w:cs="Arial"/>
          <w:szCs w:val="24"/>
        </w:rPr>
        <w:t xml:space="preserve"> will be</w:t>
      </w:r>
      <w:r>
        <w:rPr>
          <w:rFonts w:cs="Arial"/>
          <w:szCs w:val="24"/>
        </w:rPr>
        <w:t xml:space="preserve"> increased to 40% from April </w:t>
      </w:r>
      <w:r w:rsidR="0009638A">
        <w:rPr>
          <w:rFonts w:cs="Arial"/>
          <w:szCs w:val="24"/>
        </w:rPr>
        <w:t>2025</w:t>
      </w:r>
      <w:r>
        <w:rPr>
          <w:rFonts w:cs="Arial"/>
          <w:szCs w:val="24"/>
        </w:rPr>
        <w:t>. Office attendance time includes in-person training, meetings with stakeholders and families, and attending events.</w:t>
      </w:r>
    </w:p>
    <w:p w14:paraId="6E6A9644" w14:textId="09079E56"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7DF7" w14:textId="77777777" w:rsidR="00A17456" w:rsidRDefault="00A17456" w:rsidP="006B7BCE">
      <w:pPr>
        <w:spacing w:after="0" w:line="240" w:lineRule="auto"/>
      </w:pPr>
      <w:r>
        <w:separator/>
      </w:r>
    </w:p>
  </w:endnote>
  <w:endnote w:type="continuationSeparator" w:id="0">
    <w:p w14:paraId="2F9CC9A3" w14:textId="77777777" w:rsidR="00A17456" w:rsidRDefault="00A17456" w:rsidP="006B7BCE">
      <w:pPr>
        <w:spacing w:after="0" w:line="240" w:lineRule="auto"/>
      </w:pPr>
      <w:r>
        <w:continuationSeparator/>
      </w:r>
    </w:p>
  </w:endnote>
  <w:endnote w:type="continuationNotice" w:id="1">
    <w:p w14:paraId="16300E77" w14:textId="77777777" w:rsidR="00A17456" w:rsidRDefault="00A17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3BE21" w14:textId="77777777" w:rsidR="00A17456" w:rsidRDefault="00A17456" w:rsidP="006B7BCE">
      <w:pPr>
        <w:spacing w:after="0" w:line="240" w:lineRule="auto"/>
      </w:pPr>
      <w:r>
        <w:separator/>
      </w:r>
    </w:p>
  </w:footnote>
  <w:footnote w:type="continuationSeparator" w:id="0">
    <w:p w14:paraId="6C005F79" w14:textId="77777777" w:rsidR="00A17456" w:rsidRDefault="00A17456" w:rsidP="006B7BCE">
      <w:pPr>
        <w:spacing w:after="0" w:line="240" w:lineRule="auto"/>
      </w:pPr>
      <w:r>
        <w:continuationSeparator/>
      </w:r>
    </w:p>
  </w:footnote>
  <w:footnote w:type="continuationNotice" w:id="1">
    <w:p w14:paraId="0757AD98" w14:textId="77777777" w:rsidR="00A17456" w:rsidRDefault="00A174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55599"/>
    <w:multiLevelType w:val="hybridMultilevel"/>
    <w:tmpl w:val="085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66932"/>
    <w:multiLevelType w:val="hybridMultilevel"/>
    <w:tmpl w:val="68D4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4B753E4"/>
    <w:multiLevelType w:val="hybridMultilevel"/>
    <w:tmpl w:val="10EE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09149416">
    <w:abstractNumId w:val="8"/>
  </w:num>
  <w:num w:numId="2" w16cid:durableId="1828856325">
    <w:abstractNumId w:val="9"/>
  </w:num>
  <w:num w:numId="3" w16cid:durableId="941914571">
    <w:abstractNumId w:val="0"/>
  </w:num>
  <w:num w:numId="4" w16cid:durableId="1724406576">
    <w:abstractNumId w:val="25"/>
  </w:num>
  <w:num w:numId="5" w16cid:durableId="503593664">
    <w:abstractNumId w:val="5"/>
  </w:num>
  <w:num w:numId="6" w16cid:durableId="573272792">
    <w:abstractNumId w:val="14"/>
  </w:num>
  <w:num w:numId="7" w16cid:durableId="795486649">
    <w:abstractNumId w:val="24"/>
  </w:num>
  <w:num w:numId="8" w16cid:durableId="827479045">
    <w:abstractNumId w:val="16"/>
  </w:num>
  <w:num w:numId="9" w16cid:durableId="194985140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2"/>
  </w:num>
  <w:num w:numId="11" w16cid:durableId="8210018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3"/>
  </w:num>
  <w:num w:numId="14" w16cid:durableId="1138374067">
    <w:abstractNumId w:val="13"/>
  </w:num>
  <w:num w:numId="15" w16cid:durableId="1547332766">
    <w:abstractNumId w:val="21"/>
  </w:num>
  <w:num w:numId="16" w16cid:durableId="1680933933">
    <w:abstractNumId w:val="22"/>
  </w:num>
  <w:num w:numId="17" w16cid:durableId="978806488">
    <w:abstractNumId w:val="11"/>
  </w:num>
  <w:num w:numId="18" w16cid:durableId="891581971">
    <w:abstractNumId w:val="6"/>
  </w:num>
  <w:num w:numId="19" w16cid:durableId="544954157">
    <w:abstractNumId w:val="23"/>
  </w:num>
  <w:num w:numId="20" w16cid:durableId="1138230162">
    <w:abstractNumId w:val="17"/>
  </w:num>
  <w:num w:numId="21" w16cid:durableId="2010517300">
    <w:abstractNumId w:val="19"/>
  </w:num>
  <w:num w:numId="22" w16cid:durableId="305741934">
    <w:abstractNumId w:val="20"/>
  </w:num>
  <w:num w:numId="23" w16cid:durableId="539901532">
    <w:abstractNumId w:val="15"/>
  </w:num>
  <w:num w:numId="24" w16cid:durableId="1878421513">
    <w:abstractNumId w:val="27"/>
  </w:num>
  <w:num w:numId="25" w16cid:durableId="2137139743">
    <w:abstractNumId w:val="1"/>
  </w:num>
  <w:num w:numId="26" w16cid:durableId="226721669">
    <w:abstractNumId w:val="4"/>
  </w:num>
  <w:num w:numId="27" w16cid:durableId="527135474">
    <w:abstractNumId w:val="2"/>
  </w:num>
  <w:num w:numId="28" w16cid:durableId="344409753">
    <w:abstractNumId w:val="7"/>
  </w:num>
  <w:num w:numId="29" w16cid:durableId="2069377909">
    <w:abstractNumId w:val="3"/>
  </w:num>
  <w:num w:numId="30" w16cid:durableId="479466296">
    <w:abstractNumId w:val="10"/>
  </w:num>
  <w:num w:numId="31" w16cid:durableId="12887019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638A"/>
    <w:rsid w:val="00097FC9"/>
    <w:rsid w:val="000C42E9"/>
    <w:rsid w:val="000D5136"/>
    <w:rsid w:val="000E01B7"/>
    <w:rsid w:val="00125E69"/>
    <w:rsid w:val="001334F0"/>
    <w:rsid w:val="00140E28"/>
    <w:rsid w:val="00155A29"/>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D72AD"/>
    <w:rsid w:val="003E3850"/>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E756D"/>
    <w:rsid w:val="004F3664"/>
    <w:rsid w:val="004F38F1"/>
    <w:rsid w:val="004F4BF0"/>
    <w:rsid w:val="0050416C"/>
    <w:rsid w:val="00505AED"/>
    <w:rsid w:val="005075EF"/>
    <w:rsid w:val="00523F60"/>
    <w:rsid w:val="0053435C"/>
    <w:rsid w:val="00535227"/>
    <w:rsid w:val="005431E0"/>
    <w:rsid w:val="00553A0C"/>
    <w:rsid w:val="00572897"/>
    <w:rsid w:val="00576B59"/>
    <w:rsid w:val="00580A1F"/>
    <w:rsid w:val="0058312B"/>
    <w:rsid w:val="005B06BF"/>
    <w:rsid w:val="005B12A2"/>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73FC"/>
    <w:rsid w:val="00791432"/>
    <w:rsid w:val="007963D1"/>
    <w:rsid w:val="007B796E"/>
    <w:rsid w:val="007C4C55"/>
    <w:rsid w:val="007C7174"/>
    <w:rsid w:val="007D5B80"/>
    <w:rsid w:val="007D5C54"/>
    <w:rsid w:val="007E049E"/>
    <w:rsid w:val="007E4614"/>
    <w:rsid w:val="007F09DE"/>
    <w:rsid w:val="007F2184"/>
    <w:rsid w:val="0081376F"/>
    <w:rsid w:val="008176E7"/>
    <w:rsid w:val="0082023D"/>
    <w:rsid w:val="008228EA"/>
    <w:rsid w:val="00831332"/>
    <w:rsid w:val="00831553"/>
    <w:rsid w:val="00843D6F"/>
    <w:rsid w:val="00846E71"/>
    <w:rsid w:val="00850C3A"/>
    <w:rsid w:val="00871213"/>
    <w:rsid w:val="00872131"/>
    <w:rsid w:val="00875384"/>
    <w:rsid w:val="00875E0A"/>
    <w:rsid w:val="00881B73"/>
    <w:rsid w:val="00882822"/>
    <w:rsid w:val="00887946"/>
    <w:rsid w:val="008A0347"/>
    <w:rsid w:val="008B288C"/>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D715D"/>
    <w:rsid w:val="009E5750"/>
    <w:rsid w:val="00A034E8"/>
    <w:rsid w:val="00A1006C"/>
    <w:rsid w:val="00A10ADF"/>
    <w:rsid w:val="00A10F61"/>
    <w:rsid w:val="00A144FD"/>
    <w:rsid w:val="00A16469"/>
    <w:rsid w:val="00A17456"/>
    <w:rsid w:val="00A2144F"/>
    <w:rsid w:val="00A319FD"/>
    <w:rsid w:val="00A34D3F"/>
    <w:rsid w:val="00A51161"/>
    <w:rsid w:val="00A906E7"/>
    <w:rsid w:val="00A91F25"/>
    <w:rsid w:val="00AA0DD6"/>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B7D3B"/>
    <w:rsid w:val="00BC69FC"/>
    <w:rsid w:val="00BD46DB"/>
    <w:rsid w:val="00BD52A9"/>
    <w:rsid w:val="00BE46A6"/>
    <w:rsid w:val="00C00ADC"/>
    <w:rsid w:val="00C03ACA"/>
    <w:rsid w:val="00C06C47"/>
    <w:rsid w:val="00C203BE"/>
    <w:rsid w:val="00C24271"/>
    <w:rsid w:val="00C30429"/>
    <w:rsid w:val="00C3520F"/>
    <w:rsid w:val="00C36D39"/>
    <w:rsid w:val="00C56440"/>
    <w:rsid w:val="00C635C2"/>
    <w:rsid w:val="00C72A82"/>
    <w:rsid w:val="00C73FFB"/>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261D5"/>
    <w:rsid w:val="00E329DB"/>
    <w:rsid w:val="00E61A60"/>
    <w:rsid w:val="00E97169"/>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406B4"/>
    <w:rsid w:val="00F6187E"/>
    <w:rsid w:val="00F620D6"/>
    <w:rsid w:val="00F75B84"/>
    <w:rsid w:val="00F81CCB"/>
    <w:rsid w:val="00F90A7D"/>
    <w:rsid w:val="00F93173"/>
    <w:rsid w:val="00FB52FD"/>
    <w:rsid w:val="00FC687A"/>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liceconduct.gov.uk/recommendations/operation-hotton-recommendations-metropolitan-police-service-september-202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ace.bitc.org.uk/issues/racecharter" TargetMode="External"/><Relationship Id="rId17" Type="http://schemas.openxmlformats.org/officeDocument/2006/relationships/hyperlink" Target="mailto:recruitment@policeconduct.gov.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liceconduct.gov.uk/who-we-are/equality-and-diversity/welsh-languag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4d8df2-a281-4522-9a8b-9e422c932c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144DF1F1CB14482A7065B7D79A640" ma:contentTypeVersion="11" ma:contentTypeDescription="Create a new document." ma:contentTypeScope="" ma:versionID="a703756e8af2af88c8673801e427c430">
  <xsd:schema xmlns:xsd="http://www.w3.org/2001/XMLSchema" xmlns:xs="http://www.w3.org/2001/XMLSchema" xmlns:p="http://schemas.microsoft.com/office/2006/metadata/properties" xmlns:ns3="4d5359a9-85be-47c0-8510-011677ef583a" xmlns:ns4="564d8df2-a281-4522-9a8b-9e422c932c6e" targetNamespace="http://schemas.microsoft.com/office/2006/metadata/properties" ma:root="true" ma:fieldsID="f609ea98ced01724372c275c262d80e7" ns3:_="" ns4:_="">
    <xsd:import namespace="4d5359a9-85be-47c0-8510-011677ef583a"/>
    <xsd:import namespace="564d8df2-a281-4522-9a8b-9e422c932c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59a9-85be-47c0-8510-011677ef58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d8df2-a281-4522-9a8b-9e422c932c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4152C-BF04-4B58-B8AF-3DD3A0E37581}">
  <ds:schemaRefs>
    <ds:schemaRef ds:uri="http://schemas.microsoft.com/office/2006/metadata/properties"/>
    <ds:schemaRef ds:uri="http://schemas.microsoft.com/office/infopath/2007/PartnerControls"/>
    <ds:schemaRef ds:uri="564d8df2-a281-4522-9a8b-9e422c932c6e"/>
  </ds:schemaRefs>
</ds:datastoreItem>
</file>

<file path=customXml/itemProps2.xml><?xml version="1.0" encoding="utf-8"?>
<ds:datastoreItem xmlns:ds="http://schemas.openxmlformats.org/officeDocument/2006/customXml" ds:itemID="{0CF54608-9159-4E33-92D0-1AEB935CABA3}">
  <ds:schemaRefs>
    <ds:schemaRef ds:uri="http://schemas.microsoft.com/sharepoint/v3/contenttype/forms"/>
  </ds:schemaRefs>
</ds:datastoreItem>
</file>

<file path=customXml/itemProps3.xml><?xml version="1.0" encoding="utf-8"?>
<ds:datastoreItem xmlns:ds="http://schemas.openxmlformats.org/officeDocument/2006/customXml" ds:itemID="{CFC1F053-62D7-4D1E-A644-4AFE24AC6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59a9-85be-47c0-8510-011677ef583a"/>
    <ds:schemaRef ds:uri="564d8df2-a281-4522-9a8b-9e422c932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3</cp:revision>
  <cp:lastPrinted>2016-07-19T15:38:00Z</cp:lastPrinted>
  <dcterms:created xsi:type="dcterms:W3CDTF">2025-08-20T08:12:00Z</dcterms:created>
  <dcterms:modified xsi:type="dcterms:W3CDTF">2025-09-09T08:32:00Z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-1418621783</vt:i4>
  </property>
  <property fmtid="{D5CDD505-2E9C-101B-9397-08002B2CF9AE}" pid="3" name="_NewReviewCycle">
    <vt:lpwstr/>
  </property>
  <property fmtid="{D5CDD505-2E9C-101B-9397-08002B2CF9AE}" pid="4" name="_EmailSubject">
    <vt:lpwstr>Updated JD's</vt:lpwstr>
  </property>
  <property fmtid="{D5CDD505-2E9C-101B-9397-08002B2CF9AE}" pid="5" name="_AuthorEmail">
    <vt:lpwstr>Naomi.Slater@policeconduct.gov.uk</vt:lpwstr>
  </property>
  <property fmtid="{D5CDD505-2E9C-101B-9397-08002B2CF9AE}" pid="6" name="_AuthorEmailDisplayName">
    <vt:lpwstr>Naomi Slater</vt:lpwstr>
  </property>
  <property fmtid="{D5CDD505-2E9C-101B-9397-08002B2CF9AE}" pid="7" name="_PreviousAdHocReviewCycleID">
    <vt:i4>1736782631</vt:i4>
  </property>
  <property fmtid="{D5CDD505-2E9C-101B-9397-08002B2CF9AE}" pid="8" name="_ReviewingToolsShownOnce">
    <vt:lpwstr/>
  </property>
  <property fmtid="{D5CDD505-2E9C-101B-9397-08002B2CF9AE}" pid="9" name="ContentTypeId">
    <vt:lpwstr>0x01010049A144DF1F1CB14482A7065B7D79A640</vt:lpwstr>
  </property>
</Properties>
</file>